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CAA1" w14:textId="77777777" w:rsidR="0042264F" w:rsidRPr="002F5C16" w:rsidRDefault="00203994" w:rsidP="002039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F5C16">
        <w:rPr>
          <w:rFonts w:ascii="Arial" w:hAnsi="Arial" w:cs="Arial"/>
          <w:b/>
          <w:color w:val="010000"/>
          <w:sz w:val="20"/>
        </w:rPr>
        <w:t>KDM: Board Resolution</w:t>
      </w:r>
    </w:p>
    <w:p w14:paraId="045E6FAA" w14:textId="06040F84" w:rsidR="0042264F" w:rsidRPr="002F5C16" w:rsidRDefault="00203994" w:rsidP="002039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C16">
        <w:rPr>
          <w:rFonts w:ascii="Arial" w:hAnsi="Arial" w:cs="Arial"/>
          <w:color w:val="010000"/>
          <w:sz w:val="20"/>
        </w:rPr>
        <w:t>On December 26, 2023, GCL Group Joint Stock Company announced Resolution No. 16/2023/NQ-HDQT-KDM on handling fully depreciated fixed assets, as follows:</w:t>
      </w:r>
    </w:p>
    <w:p w14:paraId="35EE72D3" w14:textId="77777777" w:rsidR="0042264F" w:rsidRPr="002F5C16" w:rsidRDefault="00203994" w:rsidP="002039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C16">
        <w:rPr>
          <w:rFonts w:ascii="Arial" w:hAnsi="Arial" w:cs="Arial"/>
          <w:color w:val="010000"/>
          <w:sz w:val="20"/>
        </w:rPr>
        <w:t>‎‎Article 1. Approve the handling of fully depreciated fixed assets according to the list below: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4062"/>
        <w:gridCol w:w="759"/>
        <w:gridCol w:w="3662"/>
      </w:tblGrid>
      <w:tr w:rsidR="0042264F" w:rsidRPr="002F5C16" w14:paraId="369C02B0" w14:textId="77777777" w:rsidTr="0085672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7C69F" w14:textId="77777777" w:rsidR="0042264F" w:rsidRPr="002F5C16" w:rsidRDefault="00203994" w:rsidP="002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B7D8F" w14:textId="354CE01D" w:rsidR="0042264F" w:rsidRPr="002F5C16" w:rsidRDefault="00203994" w:rsidP="002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Name of fixed assets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C8879" w14:textId="77777777" w:rsidR="0042264F" w:rsidRPr="002F5C16" w:rsidRDefault="00203994" w:rsidP="002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C8CA2" w14:textId="34520EC9" w:rsidR="0042264F" w:rsidRPr="002F5C16" w:rsidRDefault="00203994" w:rsidP="002F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Name of fixed assets</w:t>
            </w:r>
          </w:p>
        </w:tc>
      </w:tr>
      <w:tr w:rsidR="0042264F" w:rsidRPr="002F5C16" w14:paraId="4A99C962" w14:textId="77777777" w:rsidTr="0085672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FD9A1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CB819" w14:textId="5796BDA6" w:rsidR="0042264F" w:rsidRPr="002F5C16" w:rsidRDefault="002F5C16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eastAsia="Arial" w:hAnsi="Arial" w:cs="Arial"/>
                <w:color w:val="010000"/>
                <w:sz w:val="20"/>
                <w:szCs w:val="20"/>
              </w:rPr>
              <w:t>The factory’s foundation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F8347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C1FB9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Komatsu TP excavator</w:t>
            </w:r>
          </w:p>
        </w:tc>
      </w:tr>
      <w:tr w:rsidR="0042264F" w:rsidRPr="002F5C16" w14:paraId="239DC2ED" w14:textId="77777777" w:rsidTr="0085672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F91E4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C90C7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Pile driver machine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AD791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CB522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H2.14 box feeder machine</w:t>
            </w:r>
          </w:p>
        </w:tc>
      </w:tr>
      <w:tr w:rsidR="0042264F" w:rsidRPr="002F5C16" w14:paraId="4CC48F17" w14:textId="77777777" w:rsidTr="0085672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BD563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62841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Mold for casting piles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33807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94C65" w14:textId="758E2ED8" w:rsidR="0042264F" w:rsidRPr="002F5C16" w:rsidRDefault="002F5C16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 xml:space="preserve">H3.412 </w:t>
            </w:r>
            <w:r w:rsidR="00203994" w:rsidRPr="002F5C16">
              <w:rPr>
                <w:rFonts w:ascii="Arial" w:hAnsi="Arial" w:cs="Arial"/>
                <w:color w:val="010000"/>
                <w:sz w:val="20"/>
              </w:rPr>
              <w:t>Fine rolling machine</w:t>
            </w:r>
          </w:p>
        </w:tc>
      </w:tr>
      <w:tr w:rsidR="0042264F" w:rsidRPr="002F5C16" w14:paraId="6181DC70" w14:textId="77777777" w:rsidTr="0085672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23B60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C996E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Mini robot pile driver machine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6FCB5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98D63" w14:textId="057E314A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 xml:space="preserve">Motorcycle </w:t>
            </w:r>
            <w:r w:rsidR="002F5C16" w:rsidRPr="002F5C16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2F5C16">
              <w:rPr>
                <w:rFonts w:ascii="Arial" w:hAnsi="Arial" w:cs="Arial"/>
                <w:color w:val="010000"/>
                <w:sz w:val="20"/>
              </w:rPr>
              <w:t>SH 051392</w:t>
            </w:r>
          </w:p>
        </w:tc>
      </w:tr>
      <w:tr w:rsidR="0042264F" w:rsidRPr="002F5C16" w14:paraId="69B58405" w14:textId="77777777" w:rsidTr="00856724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2ADD9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42CA7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Forklift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2062B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37112" w14:textId="77777777" w:rsidR="0042264F" w:rsidRPr="002F5C16" w:rsidRDefault="00203994" w:rsidP="002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5C16">
              <w:rPr>
                <w:rFonts w:ascii="Arial" w:hAnsi="Arial" w:cs="Arial"/>
                <w:color w:val="010000"/>
                <w:sz w:val="20"/>
              </w:rPr>
              <w:t>Three-phase electrical cable</w:t>
            </w:r>
          </w:p>
        </w:tc>
      </w:tr>
    </w:tbl>
    <w:p w14:paraId="7396B4C4" w14:textId="4D6759A5" w:rsidR="0042264F" w:rsidRPr="002F5C16" w:rsidRDefault="00203994" w:rsidP="002039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C16">
        <w:rPr>
          <w:rFonts w:ascii="Arial" w:hAnsi="Arial" w:cs="Arial"/>
          <w:color w:val="010000"/>
          <w:sz w:val="20"/>
        </w:rPr>
        <w:t xml:space="preserve">‎‎Article 2. Assign the Board of Management to take </w:t>
      </w:r>
      <w:r w:rsidR="002F5C16" w:rsidRPr="002F5C16">
        <w:rPr>
          <w:rFonts w:ascii="Arial" w:hAnsi="Arial" w:cs="Arial"/>
          <w:color w:val="010000"/>
          <w:sz w:val="20"/>
        </w:rPr>
        <w:t>responsibility</w:t>
      </w:r>
      <w:r w:rsidRPr="002F5C16">
        <w:rPr>
          <w:rFonts w:ascii="Arial" w:hAnsi="Arial" w:cs="Arial"/>
          <w:color w:val="010000"/>
          <w:sz w:val="20"/>
        </w:rPr>
        <w:t xml:space="preserve"> for executing the necessary procedures and tasks to handle fully depreciated fixed assets as specified in Article 1.</w:t>
      </w:r>
    </w:p>
    <w:p w14:paraId="77A1B431" w14:textId="0F1DC13C" w:rsidR="0042264F" w:rsidRPr="002F5C16" w:rsidRDefault="00203994" w:rsidP="002039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C16">
        <w:rPr>
          <w:rFonts w:ascii="Arial" w:hAnsi="Arial" w:cs="Arial"/>
          <w:color w:val="010000"/>
          <w:sz w:val="20"/>
        </w:rPr>
        <w:t>‎‎Article 3. This Resolution takes effect from the date of its signing. The Board of Directors</w:t>
      </w:r>
      <w:r w:rsidR="00D33CC3" w:rsidRPr="002F5C16">
        <w:rPr>
          <w:rFonts w:ascii="Arial" w:hAnsi="Arial" w:cs="Arial"/>
          <w:color w:val="010000"/>
          <w:sz w:val="20"/>
        </w:rPr>
        <w:t>, t</w:t>
      </w:r>
      <w:r w:rsidRPr="002F5C16">
        <w:rPr>
          <w:rFonts w:ascii="Arial" w:hAnsi="Arial" w:cs="Arial"/>
          <w:color w:val="010000"/>
          <w:sz w:val="20"/>
        </w:rPr>
        <w:t>he Board of Management</w:t>
      </w:r>
      <w:r w:rsidR="006112EF">
        <w:rPr>
          <w:rFonts w:ascii="Arial" w:hAnsi="Arial" w:cs="Arial"/>
          <w:color w:val="010000"/>
          <w:sz w:val="20"/>
        </w:rPr>
        <w:t>,</w:t>
      </w:r>
      <w:r w:rsidRPr="002F5C16">
        <w:rPr>
          <w:rFonts w:ascii="Arial" w:hAnsi="Arial" w:cs="Arial"/>
          <w:color w:val="010000"/>
          <w:sz w:val="20"/>
        </w:rPr>
        <w:t xml:space="preserve"> and all employees a</w:t>
      </w:r>
      <w:bookmarkStart w:id="0" w:name="_GoBack"/>
      <w:bookmarkEnd w:id="0"/>
      <w:r w:rsidRPr="002F5C16">
        <w:rPr>
          <w:rFonts w:ascii="Arial" w:hAnsi="Arial" w:cs="Arial"/>
          <w:color w:val="010000"/>
          <w:sz w:val="20"/>
        </w:rPr>
        <w:t>re responsible for the implementation of this Resolution.</w:t>
      </w:r>
    </w:p>
    <w:sectPr w:rsidR="0042264F" w:rsidRPr="002F5C16" w:rsidSect="00203994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F"/>
    <w:rsid w:val="00203994"/>
    <w:rsid w:val="002F5C16"/>
    <w:rsid w:val="0042264F"/>
    <w:rsid w:val="006112EF"/>
    <w:rsid w:val="00856724"/>
    <w:rsid w:val="00D33CC3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69357"/>
  <w15:docId w15:val="{85626939-CFD2-4281-A520-5F597769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EKPq9Q+La2xMp+NvHHKgq916Q==">CgMxLjA4AHIhMTc0ZGNPSHh1NGZmODJJWm9Kcm9ia2Z1UkdnRld5MTQ2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807</Characters>
  <Application>Microsoft Office Word</Application>
  <DocSecurity>0</DocSecurity>
  <Lines>32</Lines>
  <Paragraphs>29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2023-12-28T03:22:00Z</dcterms:created>
  <dcterms:modified xsi:type="dcterms:W3CDTF">2023-12-29T04:16:00Z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213f561555efc826a694496008af059c3bfc73cd60358986d7b78428c4a6aa73</vt:lpwstr>
  </property>
</Properties>
</file>