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2EF9" w:rsidRPr="000F77B0" w:rsidRDefault="005B6FEC" w:rsidP="00F057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F77B0">
        <w:rPr>
          <w:rFonts w:ascii="Arial" w:hAnsi="Arial" w:cs="Arial"/>
          <w:b/>
          <w:color w:val="010000"/>
          <w:sz w:val="20"/>
        </w:rPr>
        <w:t>LIG: Board Resolution</w:t>
      </w:r>
    </w:p>
    <w:p w14:paraId="00000002" w14:textId="6B6ED5C1" w:rsidR="00AA2EF9" w:rsidRPr="000F77B0" w:rsidRDefault="005B6FEC" w:rsidP="00F057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F77B0">
        <w:rPr>
          <w:rFonts w:ascii="Arial" w:hAnsi="Arial" w:cs="Arial"/>
          <w:color w:val="010000"/>
          <w:sz w:val="20"/>
        </w:rPr>
        <w:t xml:space="preserve">On November 07, 2023, LICOGI 13 Joint Stock Company announced Resolution No. 11/NQ-LICOGI13-HDQT on approving the detailed plan of </w:t>
      </w:r>
      <w:r w:rsidR="000F77B0" w:rsidRPr="000F77B0">
        <w:rPr>
          <w:rFonts w:ascii="Arial" w:hAnsi="Arial" w:cs="Arial"/>
          <w:color w:val="010000"/>
          <w:sz w:val="20"/>
        </w:rPr>
        <w:t xml:space="preserve">using </w:t>
      </w:r>
      <w:r w:rsidRPr="000F77B0">
        <w:rPr>
          <w:rFonts w:ascii="Arial" w:hAnsi="Arial" w:cs="Arial"/>
          <w:color w:val="010000"/>
          <w:sz w:val="20"/>
        </w:rPr>
        <w:t>the capital collected from the offering for supplementing the working capital as follows:</w:t>
      </w:r>
    </w:p>
    <w:p w14:paraId="00000003" w14:textId="3B7324F8" w:rsidR="00AA2EF9" w:rsidRPr="000F77B0" w:rsidRDefault="005B6FEC" w:rsidP="00F057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7B0">
        <w:rPr>
          <w:rFonts w:ascii="Arial" w:hAnsi="Arial" w:cs="Arial"/>
          <w:color w:val="010000"/>
          <w:sz w:val="20"/>
        </w:rPr>
        <w:t xml:space="preserve">Article 1: Approve the detailed plan </w:t>
      </w:r>
      <w:r w:rsidR="000F77B0" w:rsidRPr="000F77B0">
        <w:rPr>
          <w:rFonts w:ascii="Arial" w:hAnsi="Arial" w:cs="Arial"/>
          <w:color w:val="010000"/>
          <w:sz w:val="20"/>
        </w:rPr>
        <w:t xml:space="preserve">on using </w:t>
      </w:r>
      <w:r w:rsidRPr="000F77B0">
        <w:rPr>
          <w:rFonts w:ascii="Arial" w:hAnsi="Arial" w:cs="Arial"/>
          <w:color w:val="010000"/>
          <w:sz w:val="20"/>
        </w:rPr>
        <w:t xml:space="preserve">the </w:t>
      </w:r>
      <w:r w:rsidR="000F77B0" w:rsidRPr="000F77B0">
        <w:rPr>
          <w:rFonts w:ascii="Arial" w:hAnsi="Arial" w:cs="Arial"/>
          <w:color w:val="010000"/>
          <w:sz w:val="20"/>
        </w:rPr>
        <w:t xml:space="preserve">proceeds </w:t>
      </w:r>
      <w:r w:rsidRPr="000F77B0">
        <w:rPr>
          <w:rFonts w:ascii="Arial" w:hAnsi="Arial" w:cs="Arial"/>
          <w:color w:val="010000"/>
          <w:sz w:val="20"/>
        </w:rPr>
        <w:t xml:space="preserve">from the offering for supplementing the working capital </w:t>
      </w:r>
      <w:r w:rsidR="000F77B0" w:rsidRPr="000F77B0">
        <w:rPr>
          <w:rFonts w:ascii="Arial" w:hAnsi="Arial" w:cs="Arial"/>
          <w:color w:val="010000"/>
          <w:sz w:val="20"/>
        </w:rPr>
        <w:t xml:space="preserve">in </w:t>
      </w:r>
      <w:r w:rsidRPr="000F77B0">
        <w:rPr>
          <w:rFonts w:ascii="Arial" w:hAnsi="Arial" w:cs="Arial"/>
          <w:color w:val="010000"/>
          <w:sz w:val="20"/>
        </w:rPr>
        <w:t xml:space="preserve">the Plan of </w:t>
      </w:r>
      <w:r w:rsidR="000F77B0" w:rsidRPr="000F77B0">
        <w:rPr>
          <w:rFonts w:ascii="Arial" w:hAnsi="Arial" w:cs="Arial"/>
          <w:color w:val="010000"/>
          <w:sz w:val="20"/>
        </w:rPr>
        <w:t xml:space="preserve">private placement </w:t>
      </w:r>
      <w:r w:rsidRPr="000F77B0">
        <w:rPr>
          <w:rFonts w:ascii="Arial" w:hAnsi="Arial" w:cs="Arial"/>
          <w:color w:val="010000"/>
          <w:sz w:val="20"/>
        </w:rPr>
        <w:t>for professional securities investors according to</w:t>
      </w:r>
      <w:r w:rsidR="000F77B0" w:rsidRPr="000F77B0">
        <w:rPr>
          <w:rFonts w:ascii="Arial" w:hAnsi="Arial" w:cs="Arial"/>
          <w:color w:val="010000"/>
          <w:sz w:val="20"/>
        </w:rPr>
        <w:t xml:space="preserve"> General Mandate</w:t>
      </w:r>
      <w:r w:rsidRPr="000F77B0">
        <w:rPr>
          <w:rFonts w:ascii="Arial" w:hAnsi="Arial" w:cs="Arial"/>
          <w:color w:val="010000"/>
          <w:sz w:val="20"/>
        </w:rPr>
        <w:t xml:space="preserve"> No. 25/NQ-LICOGI13-DHDCD dated April 27, 2023</w:t>
      </w:r>
      <w:r w:rsidR="00293FD3">
        <w:rPr>
          <w:rFonts w:ascii="Arial" w:hAnsi="Arial" w:cs="Arial"/>
          <w:color w:val="010000"/>
          <w:sz w:val="20"/>
        </w:rPr>
        <w:t>,</w:t>
      </w:r>
      <w:bookmarkStart w:id="1" w:name="_GoBack"/>
      <w:bookmarkEnd w:id="1"/>
      <w:r w:rsidRPr="000F77B0">
        <w:rPr>
          <w:rFonts w:ascii="Arial" w:hAnsi="Arial" w:cs="Arial"/>
          <w:color w:val="010000"/>
          <w:sz w:val="20"/>
        </w:rPr>
        <w:t xml:space="preserve"> and the </w:t>
      </w:r>
      <w:r w:rsidR="000F77B0" w:rsidRPr="000F77B0">
        <w:rPr>
          <w:rFonts w:ascii="Arial" w:hAnsi="Arial" w:cs="Arial"/>
          <w:color w:val="010000"/>
          <w:sz w:val="20"/>
        </w:rPr>
        <w:t xml:space="preserve">adjusted </w:t>
      </w:r>
      <w:r w:rsidRPr="000F77B0">
        <w:rPr>
          <w:rFonts w:ascii="Arial" w:hAnsi="Arial" w:cs="Arial"/>
          <w:color w:val="010000"/>
          <w:sz w:val="20"/>
        </w:rPr>
        <w:t xml:space="preserve">Plan of using capital according to Resolution No. 10/NQ-LICOGI13-HDQT dated November 07, 2023, in particular: </w:t>
      </w:r>
    </w:p>
    <w:p w14:paraId="00000004" w14:textId="34FFF810" w:rsidR="00AA2EF9" w:rsidRPr="000F77B0" w:rsidRDefault="005B6FEC" w:rsidP="00F0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7B0">
        <w:rPr>
          <w:rFonts w:ascii="Arial" w:hAnsi="Arial" w:cs="Arial"/>
          <w:color w:val="010000"/>
          <w:sz w:val="20"/>
        </w:rPr>
        <w:t xml:space="preserve">Capital use purpose: The </w:t>
      </w:r>
      <w:r w:rsidR="000F77B0" w:rsidRPr="000F77B0">
        <w:rPr>
          <w:rFonts w:ascii="Arial" w:hAnsi="Arial" w:cs="Arial"/>
          <w:color w:val="010000"/>
          <w:sz w:val="20"/>
        </w:rPr>
        <w:t>proceeds</w:t>
      </w:r>
      <w:r w:rsidRPr="000F77B0">
        <w:rPr>
          <w:rFonts w:ascii="Arial" w:hAnsi="Arial" w:cs="Arial"/>
          <w:color w:val="010000"/>
          <w:sz w:val="20"/>
        </w:rPr>
        <w:t xml:space="preserve"> from the offering for supplementing the working capital will be used for paying Bank loan</w:t>
      </w:r>
      <w:r w:rsidR="000F77B0" w:rsidRPr="000F77B0">
        <w:rPr>
          <w:rFonts w:ascii="Arial" w:hAnsi="Arial" w:cs="Arial"/>
          <w:color w:val="010000"/>
          <w:sz w:val="20"/>
        </w:rPr>
        <w:t>s</w:t>
      </w:r>
      <w:r w:rsidRPr="000F77B0">
        <w:rPr>
          <w:rFonts w:ascii="Arial" w:hAnsi="Arial" w:cs="Arial"/>
          <w:color w:val="010000"/>
          <w:sz w:val="20"/>
        </w:rPr>
        <w:t xml:space="preserve"> to </w:t>
      </w:r>
      <w:r w:rsidR="000F77B0" w:rsidRPr="000F77B0">
        <w:rPr>
          <w:rFonts w:ascii="Arial" w:hAnsi="Arial" w:cs="Arial"/>
          <w:color w:val="010000"/>
          <w:sz w:val="20"/>
        </w:rPr>
        <w:t xml:space="preserve">reduce </w:t>
      </w:r>
      <w:r w:rsidRPr="000F77B0">
        <w:rPr>
          <w:rFonts w:ascii="Arial" w:hAnsi="Arial" w:cs="Arial"/>
          <w:color w:val="010000"/>
          <w:sz w:val="20"/>
        </w:rPr>
        <w:t>the financial expense;</w:t>
      </w:r>
    </w:p>
    <w:p w14:paraId="00000005" w14:textId="77777777" w:rsidR="00AA2EF9" w:rsidRPr="000F77B0" w:rsidRDefault="005B6FEC" w:rsidP="00F0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7B0">
        <w:rPr>
          <w:rFonts w:ascii="Arial" w:hAnsi="Arial" w:cs="Arial"/>
          <w:color w:val="010000"/>
          <w:sz w:val="20"/>
        </w:rPr>
        <w:t>Loan details: According to the list of detailed credit contracts announced with this Resolution;</w:t>
      </w:r>
    </w:p>
    <w:p w14:paraId="00000006" w14:textId="77777777" w:rsidR="00AA2EF9" w:rsidRPr="000F77B0" w:rsidRDefault="005B6FEC" w:rsidP="00F05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F77B0">
        <w:rPr>
          <w:rFonts w:ascii="Arial" w:hAnsi="Arial" w:cs="Arial"/>
          <w:color w:val="010000"/>
          <w:sz w:val="20"/>
        </w:rPr>
        <w:t>Expected using time: According to the expiry date of the detailed credit contracts on the list above.</w:t>
      </w:r>
    </w:p>
    <w:p w14:paraId="00000007" w14:textId="77777777" w:rsidR="00AA2EF9" w:rsidRPr="000F77B0" w:rsidRDefault="005B6FEC" w:rsidP="00F05773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AA2EF9" w:rsidRPr="000F77B0" w:rsidSect="005B6FEC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0F77B0">
        <w:rPr>
          <w:rFonts w:ascii="Arial" w:hAnsi="Arial" w:cs="Arial"/>
          <w:color w:val="010000"/>
          <w:sz w:val="20"/>
        </w:rPr>
        <w:t xml:space="preserve">Article 2: This Resolution takes effect from the date of its signing and replaces Resolution No. 07/NQ-LICOGI13-HDQT dated October 05, 2023. The Board of Directors, the Board of Management and </w:t>
      </w:r>
      <w:proofErr w:type="gramStart"/>
      <w:r w:rsidRPr="000F77B0">
        <w:rPr>
          <w:rFonts w:ascii="Arial" w:hAnsi="Arial" w:cs="Arial"/>
          <w:color w:val="010000"/>
          <w:sz w:val="20"/>
        </w:rPr>
        <w:t>related</w:t>
      </w:r>
      <w:proofErr w:type="gramEnd"/>
      <w:r w:rsidRPr="000F77B0">
        <w:rPr>
          <w:rFonts w:ascii="Arial" w:hAnsi="Arial" w:cs="Arial"/>
          <w:color w:val="010000"/>
          <w:sz w:val="20"/>
        </w:rPr>
        <w:t xml:space="preserve"> units are responsible for implementing this Resolution.</w:t>
      </w:r>
    </w:p>
    <w:p w14:paraId="00000008" w14:textId="77777777" w:rsidR="00AA2EF9" w:rsidRPr="000F77B0" w:rsidRDefault="00AA2EF9" w:rsidP="00F05773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AA2EF9" w:rsidRPr="000F77B0" w:rsidSect="005B6FEC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3A30"/>
    <w:multiLevelType w:val="multilevel"/>
    <w:tmpl w:val="9DF8C6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F9"/>
    <w:rsid w:val="00030543"/>
    <w:rsid w:val="000F77B0"/>
    <w:rsid w:val="001C090D"/>
    <w:rsid w:val="00293FD3"/>
    <w:rsid w:val="005B6FEC"/>
    <w:rsid w:val="00AA2EF9"/>
    <w:rsid w:val="00F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01C68"/>
  <w15:docId w15:val="{9155AE92-1EC8-41CB-BB9C-B2CE9BD5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5A4F5WiSRW9oCjnn3n3DlbEdQ==">CgMxLjAyCGguZ2pkZ3hzOAByITFvYUxKRjd0bWpHLTFucFVHbHBhVlhVc2dmbFYxN0tnYQ==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1069</Characters>
  <Application>Microsoft Office Word</Application>
  <DocSecurity>0</DocSecurity>
  <Lines>16</Lines>
  <Paragraphs>7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8</cp:revision>
  <dcterms:created xsi:type="dcterms:W3CDTF">2023-12-27T04:03:00Z</dcterms:created>
  <dcterms:modified xsi:type="dcterms:W3CDTF">2023-12-28T03:43:00Z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32575012d3862fb221f9a24c326bab57e4f953bd1f5e9a94d417fc6637ce8472</vt:lpwstr>
  </property>
</Properties>
</file>