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E4B21" w14:textId="77777777" w:rsidR="00C27C69" w:rsidRPr="0038234F" w:rsidRDefault="00C760FA" w:rsidP="006070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8234F">
        <w:rPr>
          <w:rFonts w:ascii="Arial" w:hAnsi="Arial" w:cs="Arial"/>
          <w:b/>
          <w:color w:val="010000"/>
          <w:sz w:val="20"/>
        </w:rPr>
        <w:t>LIG: Board Resolution</w:t>
      </w:r>
    </w:p>
    <w:p w14:paraId="0E4513D2" w14:textId="0EB4D6FA" w:rsidR="00C27C69" w:rsidRPr="0038234F" w:rsidRDefault="00C760FA" w:rsidP="006070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34F">
        <w:rPr>
          <w:rFonts w:ascii="Arial" w:hAnsi="Arial" w:cs="Arial"/>
          <w:color w:val="010000"/>
          <w:sz w:val="20"/>
        </w:rPr>
        <w:t xml:space="preserve">On December 19, 2023, LICOGI 13 Joint Stock Company announced Resolution No. 15/2023/NQ-LICOGI13-HDQT on </w:t>
      </w:r>
      <w:r w:rsidR="0038234F" w:rsidRPr="0038234F">
        <w:rPr>
          <w:rFonts w:ascii="Arial" w:hAnsi="Arial" w:cs="Arial"/>
          <w:color w:val="010000"/>
          <w:sz w:val="20"/>
        </w:rPr>
        <w:t>collecting</w:t>
      </w:r>
      <w:r w:rsidRPr="0038234F">
        <w:rPr>
          <w:rFonts w:ascii="Arial" w:hAnsi="Arial" w:cs="Arial"/>
          <w:color w:val="010000"/>
          <w:sz w:val="20"/>
        </w:rPr>
        <w:t xml:space="preserve"> opinions of the Bondholders to change the term of the LIGH2123001 bond and the </w:t>
      </w:r>
      <w:r w:rsidR="0038234F" w:rsidRPr="0038234F">
        <w:rPr>
          <w:rFonts w:ascii="Arial" w:hAnsi="Arial" w:cs="Arial"/>
          <w:color w:val="010000"/>
          <w:sz w:val="20"/>
        </w:rPr>
        <w:t xml:space="preserve">Terms </w:t>
      </w:r>
      <w:r w:rsidRPr="0038234F">
        <w:rPr>
          <w:rFonts w:ascii="Arial" w:hAnsi="Arial" w:cs="Arial"/>
          <w:color w:val="010000"/>
          <w:sz w:val="20"/>
        </w:rPr>
        <w:t xml:space="preserve">and </w:t>
      </w:r>
      <w:r w:rsidR="0038234F" w:rsidRPr="0038234F">
        <w:rPr>
          <w:rFonts w:ascii="Arial" w:hAnsi="Arial" w:cs="Arial"/>
          <w:color w:val="010000"/>
          <w:sz w:val="20"/>
        </w:rPr>
        <w:t xml:space="preserve">Conditions </w:t>
      </w:r>
      <w:r w:rsidRPr="0038234F">
        <w:rPr>
          <w:rFonts w:ascii="Arial" w:hAnsi="Arial" w:cs="Arial"/>
          <w:color w:val="010000"/>
          <w:sz w:val="20"/>
        </w:rPr>
        <w:t>of the bond as follows:</w:t>
      </w:r>
    </w:p>
    <w:p w14:paraId="0B16292C" w14:textId="37F054B5" w:rsidR="00C27C69" w:rsidRPr="0038234F" w:rsidRDefault="00C760FA" w:rsidP="006070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34F">
        <w:rPr>
          <w:rFonts w:ascii="Arial" w:hAnsi="Arial" w:cs="Arial"/>
          <w:color w:val="010000"/>
          <w:sz w:val="20"/>
        </w:rPr>
        <w:t xml:space="preserve">‎‎Article 1. Approve the content of </w:t>
      </w:r>
      <w:r w:rsidR="0038234F" w:rsidRPr="0038234F">
        <w:rPr>
          <w:rFonts w:ascii="Arial" w:hAnsi="Arial" w:cs="Arial"/>
          <w:color w:val="010000"/>
          <w:sz w:val="20"/>
        </w:rPr>
        <w:t xml:space="preserve">collecting </w:t>
      </w:r>
      <w:r w:rsidRPr="0038234F">
        <w:rPr>
          <w:rFonts w:ascii="Arial" w:hAnsi="Arial" w:cs="Arial"/>
          <w:color w:val="010000"/>
          <w:sz w:val="20"/>
        </w:rPr>
        <w:t xml:space="preserve">opinions of Bondholders on changing the </w:t>
      </w:r>
      <w:r w:rsidR="00607083">
        <w:rPr>
          <w:rFonts w:ascii="Arial" w:hAnsi="Arial" w:cs="Arial"/>
          <w:color w:val="010000"/>
          <w:sz w:val="20"/>
        </w:rPr>
        <w:t>terms</w:t>
      </w:r>
      <w:r w:rsidRPr="0038234F">
        <w:rPr>
          <w:rFonts w:ascii="Arial" w:hAnsi="Arial" w:cs="Arial"/>
          <w:color w:val="010000"/>
          <w:sz w:val="20"/>
        </w:rPr>
        <w:t xml:space="preserve"> of the LIGH2123001 bond and the Terms and Conditions of the bond as follows:</w:t>
      </w:r>
    </w:p>
    <w:p w14:paraId="6C363434" w14:textId="77777777" w:rsidR="00C27C69" w:rsidRPr="0038234F" w:rsidRDefault="00C760FA" w:rsidP="00607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7"/>
          <w:tab w:val="left" w:pos="94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34F">
        <w:rPr>
          <w:rFonts w:ascii="Arial" w:hAnsi="Arial" w:cs="Arial"/>
          <w:color w:val="010000"/>
          <w:sz w:val="20"/>
        </w:rPr>
        <w:t xml:space="preserve">Change the Bond Term under Condition 5 to: </w:t>
      </w:r>
    </w:p>
    <w:p w14:paraId="767DAA12" w14:textId="77777777" w:rsidR="00C27C69" w:rsidRPr="0038234F" w:rsidRDefault="00C760FA" w:rsidP="006070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34F">
        <w:rPr>
          <w:rFonts w:ascii="Arial" w:hAnsi="Arial" w:cs="Arial"/>
          <w:color w:val="010000"/>
          <w:sz w:val="20"/>
        </w:rPr>
        <w:t xml:space="preserve">The bond has a term of 33 months from December 31, 2021 (“Issuance Date”) and matures on September 30, 2024 (“Maturity Date”). </w:t>
      </w:r>
    </w:p>
    <w:p w14:paraId="4DF2660E" w14:textId="25F9432C" w:rsidR="00C27C69" w:rsidRPr="0038234F" w:rsidRDefault="00C760FA" w:rsidP="00607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34F">
        <w:rPr>
          <w:rFonts w:ascii="Arial" w:hAnsi="Arial" w:cs="Arial"/>
          <w:color w:val="010000"/>
          <w:sz w:val="20"/>
        </w:rPr>
        <w:t>Supplement Clause 10.2.</w:t>
      </w:r>
      <w:r w:rsidR="0038234F" w:rsidRPr="0038234F">
        <w:rPr>
          <w:rFonts w:ascii="Arial" w:hAnsi="Arial" w:cs="Arial"/>
          <w:color w:val="010000"/>
          <w:sz w:val="20"/>
        </w:rPr>
        <w:t>c</w:t>
      </w:r>
      <w:r w:rsidRPr="0038234F">
        <w:rPr>
          <w:rFonts w:ascii="Arial" w:hAnsi="Arial" w:cs="Arial"/>
          <w:color w:val="010000"/>
          <w:sz w:val="20"/>
        </w:rPr>
        <w:t xml:space="preserve"> Repurchase according to the Commitment of the Issuer as follows: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855"/>
        <w:gridCol w:w="2551"/>
        <w:gridCol w:w="2078"/>
      </w:tblGrid>
      <w:tr w:rsidR="00C27C69" w:rsidRPr="0038234F" w14:paraId="440A0E7B" w14:textId="77777777" w:rsidTr="0060708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2081E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E495A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0F575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Repurchase date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57BC6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C27C69" w:rsidRPr="0038234F" w14:paraId="3855EE31" w14:textId="77777777" w:rsidTr="0060708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A5D53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B0E6B" w14:textId="161BC672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Repurchase Before Maturity, First time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513D5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December 31, 2023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6C0F8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</w:tr>
      <w:tr w:rsidR="00C27C69" w:rsidRPr="0038234F" w14:paraId="64041BDE" w14:textId="77777777" w:rsidTr="0060708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FB0A1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800BB" w14:textId="4298B1A5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Repurchase Before Maturity, Second time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0E385" w14:textId="4C54E96C" w:rsidR="00C27C69" w:rsidRPr="0038234F" w:rsidRDefault="0038234F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 xml:space="preserve">January 31, </w:t>
            </w:r>
            <w:r w:rsidR="00C760FA" w:rsidRPr="0038234F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53A23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</w:tr>
      <w:tr w:rsidR="00C27C69" w:rsidRPr="0038234F" w14:paraId="10B068CE" w14:textId="77777777" w:rsidTr="0060708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DF49C" w14:textId="5F040681" w:rsidR="00C27C69" w:rsidRPr="0038234F" w:rsidRDefault="0038234F" w:rsidP="00607083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eastAsia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DB9CD" w14:textId="76E3E38D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Repurchase Before Maturity, Third time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D98A2" w14:textId="683056F2" w:rsidR="00C27C69" w:rsidRPr="0038234F" w:rsidRDefault="0038234F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 xml:space="preserve">March 31, </w:t>
            </w:r>
            <w:r w:rsidR="00C760FA" w:rsidRPr="0038234F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54A4E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</w:tr>
      <w:tr w:rsidR="00C27C69" w:rsidRPr="0038234F" w14:paraId="19BD63E1" w14:textId="77777777" w:rsidTr="0060708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171D6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91820" w14:textId="1F9D858C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Repurchase Before Maturity, Fourth time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F675B" w14:textId="359A26A8" w:rsidR="00C27C69" w:rsidRPr="0038234F" w:rsidRDefault="0038234F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 xml:space="preserve">June 30, </w:t>
            </w:r>
            <w:r w:rsidR="00C760FA" w:rsidRPr="0038234F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CDED4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20,000,000,000</w:t>
            </w:r>
          </w:p>
        </w:tc>
      </w:tr>
      <w:tr w:rsidR="00C27C69" w:rsidRPr="0038234F" w14:paraId="2D5FBB05" w14:textId="77777777" w:rsidTr="0060708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D61B1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98A8F" w14:textId="2EC88E33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Repurchase at Maturity Date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55FD3" w14:textId="55BF8119" w:rsidR="00C27C69" w:rsidRPr="0038234F" w:rsidRDefault="0038234F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 xml:space="preserve">September 30, </w:t>
            </w:r>
            <w:r w:rsidR="00C760FA" w:rsidRPr="0038234F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9ED42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25,000,000,000</w:t>
            </w:r>
          </w:p>
        </w:tc>
      </w:tr>
      <w:tr w:rsidR="00C27C69" w:rsidRPr="0038234F" w14:paraId="67B25A34" w14:textId="77777777" w:rsidTr="00607083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67194" w14:textId="77777777" w:rsidR="00C27C69" w:rsidRPr="0038234F" w:rsidRDefault="00C27C69" w:rsidP="00607083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00E89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A7A75" w14:textId="77777777" w:rsidR="00C27C69" w:rsidRPr="0038234F" w:rsidRDefault="00C27C69" w:rsidP="00607083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8A86D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75,000,000,000</w:t>
            </w:r>
          </w:p>
        </w:tc>
      </w:tr>
    </w:tbl>
    <w:p w14:paraId="3FE290F3" w14:textId="3AC6FA10" w:rsidR="00C27C69" w:rsidRPr="0038234F" w:rsidRDefault="00C760FA" w:rsidP="00607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34F">
        <w:rPr>
          <w:rFonts w:ascii="Arial" w:hAnsi="Arial" w:cs="Arial"/>
          <w:color w:val="010000"/>
          <w:sz w:val="20"/>
        </w:rPr>
        <w:t xml:space="preserve">Supplement Clause 18.1 Definition of </w:t>
      </w:r>
      <w:r w:rsidR="0038234F" w:rsidRPr="0038234F">
        <w:rPr>
          <w:rFonts w:ascii="Arial" w:hAnsi="Arial" w:cs="Arial"/>
          <w:color w:val="010000"/>
          <w:sz w:val="20"/>
        </w:rPr>
        <w:t>“</w:t>
      </w:r>
      <w:r w:rsidRPr="0038234F">
        <w:rPr>
          <w:rFonts w:ascii="Arial" w:hAnsi="Arial" w:cs="Arial"/>
          <w:color w:val="010000"/>
          <w:sz w:val="20"/>
        </w:rPr>
        <w:t xml:space="preserve">Interest Payment </w:t>
      </w:r>
      <w:r w:rsidR="0038234F" w:rsidRPr="0038234F">
        <w:rPr>
          <w:rFonts w:ascii="Arial" w:hAnsi="Arial" w:cs="Arial"/>
          <w:color w:val="010000"/>
          <w:sz w:val="20"/>
        </w:rPr>
        <w:t xml:space="preserve">Period” </w:t>
      </w:r>
      <w:r w:rsidRPr="0038234F">
        <w:rPr>
          <w:rFonts w:ascii="Arial" w:hAnsi="Arial" w:cs="Arial"/>
          <w:color w:val="010000"/>
          <w:sz w:val="20"/>
        </w:rPr>
        <w:t>by the Issuer</w:t>
      </w:r>
      <w:r w:rsidR="0038234F" w:rsidRPr="0038234F">
        <w:rPr>
          <w:rFonts w:ascii="Arial" w:hAnsi="Arial" w:cs="Arial"/>
          <w:color w:val="010000"/>
          <w:sz w:val="20"/>
        </w:rPr>
        <w:t>,</w:t>
      </w:r>
      <w:r w:rsidRPr="0038234F">
        <w:rPr>
          <w:rFonts w:ascii="Arial" w:hAnsi="Arial" w:cs="Arial"/>
          <w:color w:val="010000"/>
          <w:sz w:val="20"/>
        </w:rPr>
        <w:t xml:space="preserve"> specifically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3063"/>
        <w:gridCol w:w="5247"/>
      </w:tblGrid>
      <w:tr w:rsidR="00C27C69" w:rsidRPr="0038234F" w14:paraId="0477FCC3" w14:textId="77777777" w:rsidTr="00C760FA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F98C2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44C8E" w14:textId="4F1F56E1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Interest Payment Term</w:t>
            </w:r>
          </w:p>
        </w:tc>
        <w:tc>
          <w:tcPr>
            <w:tcW w:w="2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9A3A7" w14:textId="0054D4AD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Specific Interest Payment Term</w:t>
            </w:r>
          </w:p>
        </w:tc>
      </w:tr>
      <w:tr w:rsidR="00C27C69" w:rsidRPr="0038234F" w14:paraId="3AC8771A" w14:textId="77777777" w:rsidTr="00C760FA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87612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650FA" w14:textId="69AF5DDC" w:rsidR="00C27C69" w:rsidRPr="0038234F" w:rsidRDefault="0038234F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9th Interest Payment Period</w:t>
            </w:r>
          </w:p>
        </w:tc>
        <w:tc>
          <w:tcPr>
            <w:tcW w:w="2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D68C1" w14:textId="638BFD88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 xml:space="preserve">From </w:t>
            </w:r>
            <w:r w:rsidR="0038234F" w:rsidRPr="0038234F">
              <w:rPr>
                <w:rFonts w:ascii="Arial" w:hAnsi="Arial" w:cs="Arial"/>
                <w:color w:val="010000"/>
                <w:sz w:val="20"/>
              </w:rPr>
              <w:t xml:space="preserve">January 02, </w:t>
            </w:r>
            <w:r w:rsidRPr="0038234F">
              <w:rPr>
                <w:rFonts w:ascii="Arial" w:hAnsi="Arial" w:cs="Arial"/>
                <w:color w:val="010000"/>
                <w:sz w:val="20"/>
              </w:rPr>
              <w:t>2024</w:t>
            </w:r>
            <w:r w:rsidR="00607083">
              <w:rPr>
                <w:rFonts w:ascii="Arial" w:hAnsi="Arial" w:cs="Arial"/>
                <w:color w:val="010000"/>
                <w:sz w:val="20"/>
              </w:rPr>
              <w:t>,</w:t>
            </w:r>
            <w:r w:rsidRPr="0038234F">
              <w:rPr>
                <w:rFonts w:ascii="Arial" w:hAnsi="Arial" w:cs="Arial"/>
                <w:color w:val="010000"/>
                <w:sz w:val="20"/>
              </w:rPr>
              <w:t xml:space="preserve"> to and excluding </w:t>
            </w:r>
            <w:r w:rsidR="0038234F" w:rsidRPr="0038234F">
              <w:rPr>
                <w:rFonts w:ascii="Arial" w:hAnsi="Arial" w:cs="Arial"/>
                <w:color w:val="010000"/>
                <w:sz w:val="20"/>
              </w:rPr>
              <w:t xml:space="preserve">March 31, </w:t>
            </w:r>
            <w:r w:rsidRPr="0038234F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C27C69" w:rsidRPr="0038234F" w14:paraId="020CC75D" w14:textId="77777777" w:rsidTr="00C760FA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DE2C2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0FCCC" w14:textId="6E762154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 xml:space="preserve">10th </w:t>
            </w:r>
            <w:r w:rsidR="0038234F" w:rsidRPr="0038234F">
              <w:rPr>
                <w:rFonts w:ascii="Arial" w:hAnsi="Arial" w:cs="Arial"/>
                <w:color w:val="010000"/>
                <w:sz w:val="20"/>
              </w:rPr>
              <w:t>Interest Payment Period</w:t>
            </w:r>
          </w:p>
        </w:tc>
        <w:tc>
          <w:tcPr>
            <w:tcW w:w="2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F1386" w14:textId="0C8A413F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From March 31, 2024</w:t>
            </w:r>
            <w:r w:rsidR="00607083">
              <w:rPr>
                <w:rFonts w:ascii="Arial" w:hAnsi="Arial" w:cs="Arial"/>
                <w:color w:val="010000"/>
                <w:sz w:val="20"/>
              </w:rPr>
              <w:t>,</w:t>
            </w:r>
            <w:r w:rsidRPr="0038234F">
              <w:rPr>
                <w:rFonts w:ascii="Arial" w:hAnsi="Arial" w:cs="Arial"/>
                <w:color w:val="010000"/>
                <w:sz w:val="20"/>
              </w:rPr>
              <w:t xml:space="preserve"> to and excluding June 30, 2024</w:t>
            </w:r>
          </w:p>
        </w:tc>
      </w:tr>
      <w:tr w:rsidR="00C27C69" w:rsidRPr="0038234F" w14:paraId="008A9AD7" w14:textId="77777777" w:rsidTr="00C760FA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8D96E" w14:textId="77777777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A35F7" w14:textId="33EF4D45" w:rsidR="00C27C69" w:rsidRPr="0038234F" w:rsidRDefault="0038234F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11th Interest Payment Period</w:t>
            </w:r>
          </w:p>
        </w:tc>
        <w:tc>
          <w:tcPr>
            <w:tcW w:w="2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52FE1" w14:textId="2EF5C483" w:rsidR="00C27C69" w:rsidRPr="0038234F" w:rsidRDefault="00C760FA" w:rsidP="0060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34F">
              <w:rPr>
                <w:rFonts w:ascii="Arial" w:hAnsi="Arial" w:cs="Arial"/>
                <w:color w:val="010000"/>
                <w:sz w:val="20"/>
              </w:rPr>
              <w:t>From June 30, 2024</w:t>
            </w:r>
            <w:r w:rsidR="00607083">
              <w:rPr>
                <w:rFonts w:ascii="Arial" w:hAnsi="Arial" w:cs="Arial"/>
                <w:color w:val="010000"/>
                <w:sz w:val="20"/>
              </w:rPr>
              <w:t>,</w:t>
            </w:r>
            <w:r w:rsidRPr="0038234F">
              <w:rPr>
                <w:rFonts w:ascii="Arial" w:hAnsi="Arial" w:cs="Arial"/>
                <w:color w:val="010000"/>
                <w:sz w:val="20"/>
              </w:rPr>
              <w:t xml:space="preserve"> to September 30, 2024</w:t>
            </w:r>
          </w:p>
        </w:tc>
      </w:tr>
    </w:tbl>
    <w:p w14:paraId="6062E440" w14:textId="77777777" w:rsidR="00C27C69" w:rsidRPr="0038234F" w:rsidRDefault="00C760FA" w:rsidP="006070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34F">
        <w:rPr>
          <w:rFonts w:ascii="Arial" w:hAnsi="Arial" w:cs="Arial"/>
          <w:color w:val="010000"/>
          <w:sz w:val="20"/>
        </w:rPr>
        <w:t>Apart from the aforementioned changes, other terms and conditions remain unchanged compared to the Information Disclosure and the Bond Document that has been announced</w:t>
      </w:r>
    </w:p>
    <w:p w14:paraId="4CDB434B" w14:textId="6818A36C" w:rsidR="00C27C69" w:rsidRPr="0038234F" w:rsidRDefault="00C760FA" w:rsidP="006070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34F">
        <w:rPr>
          <w:rFonts w:ascii="Arial" w:hAnsi="Arial" w:cs="Arial"/>
          <w:color w:val="010000"/>
          <w:sz w:val="20"/>
        </w:rPr>
        <w:t xml:space="preserve">Article 2: Approve the content of </w:t>
      </w:r>
      <w:r w:rsidR="0038234F" w:rsidRPr="0038234F">
        <w:rPr>
          <w:rFonts w:ascii="Arial" w:hAnsi="Arial" w:cs="Arial"/>
          <w:color w:val="010000"/>
          <w:sz w:val="20"/>
        </w:rPr>
        <w:t>collecting</w:t>
      </w:r>
      <w:r w:rsidRPr="0038234F">
        <w:rPr>
          <w:rFonts w:ascii="Arial" w:hAnsi="Arial" w:cs="Arial"/>
          <w:color w:val="010000"/>
          <w:sz w:val="20"/>
        </w:rPr>
        <w:t xml:space="preserve"> opinions of Bondholders on changing the Collateral of the LIGH2123001 bond as follows:</w:t>
      </w:r>
    </w:p>
    <w:p w14:paraId="12B16399" w14:textId="344861FC" w:rsidR="00C27C69" w:rsidRPr="0038234F" w:rsidRDefault="00C760FA" w:rsidP="006070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34F">
        <w:rPr>
          <w:rFonts w:ascii="Arial" w:hAnsi="Arial" w:cs="Arial"/>
          <w:color w:val="010000"/>
          <w:sz w:val="20"/>
        </w:rPr>
        <w:t>Approve</w:t>
      </w:r>
      <w:r w:rsidR="0038234F" w:rsidRPr="0038234F">
        <w:rPr>
          <w:rFonts w:ascii="Arial" w:hAnsi="Arial" w:cs="Arial"/>
          <w:color w:val="010000"/>
          <w:sz w:val="20"/>
        </w:rPr>
        <w:t xml:space="preserve"> the</w:t>
      </w:r>
      <w:r w:rsidRPr="0038234F">
        <w:rPr>
          <w:rFonts w:ascii="Arial" w:hAnsi="Arial" w:cs="Arial"/>
          <w:color w:val="010000"/>
          <w:sz w:val="20"/>
        </w:rPr>
        <w:t xml:space="preserve"> withdraw</w:t>
      </w:r>
      <w:r w:rsidR="0038234F" w:rsidRPr="0038234F">
        <w:rPr>
          <w:rFonts w:ascii="Arial" w:hAnsi="Arial" w:cs="Arial"/>
          <w:color w:val="010000"/>
          <w:sz w:val="20"/>
        </w:rPr>
        <w:t>al</w:t>
      </w:r>
      <w:r w:rsidRPr="0038234F">
        <w:rPr>
          <w:rFonts w:ascii="Arial" w:hAnsi="Arial" w:cs="Arial"/>
          <w:color w:val="010000"/>
          <w:sz w:val="20"/>
        </w:rPr>
        <w:t xml:space="preserve"> </w:t>
      </w:r>
      <w:r w:rsidR="0038234F" w:rsidRPr="0038234F">
        <w:rPr>
          <w:rFonts w:ascii="Arial" w:hAnsi="Arial" w:cs="Arial"/>
          <w:color w:val="010000"/>
          <w:sz w:val="20"/>
        </w:rPr>
        <w:t xml:space="preserve">of </w:t>
      </w:r>
      <w:r w:rsidRPr="0038234F">
        <w:rPr>
          <w:rFonts w:ascii="Arial" w:hAnsi="Arial" w:cs="Arial"/>
          <w:color w:val="010000"/>
          <w:sz w:val="20"/>
        </w:rPr>
        <w:t xml:space="preserve">the collateral, which is the funds in securities trading account </w:t>
      </w:r>
      <w:r w:rsidR="0038234F" w:rsidRPr="0038234F">
        <w:rPr>
          <w:rFonts w:ascii="Arial" w:hAnsi="Arial" w:cs="Arial"/>
          <w:color w:val="010000"/>
          <w:sz w:val="20"/>
        </w:rPr>
        <w:t>No.</w:t>
      </w:r>
      <w:r w:rsidRPr="0038234F">
        <w:rPr>
          <w:rFonts w:ascii="Arial" w:hAnsi="Arial" w:cs="Arial"/>
          <w:color w:val="010000"/>
          <w:sz w:val="20"/>
        </w:rPr>
        <w:t xml:space="preserve"> 116C000278 of the Issuer, with the amount of VND 2,560,000,000 to settle the First Repurchase before Maturity for the Bondholder.</w:t>
      </w:r>
    </w:p>
    <w:p w14:paraId="3A46A5C5" w14:textId="4DBCB56C" w:rsidR="00C27C69" w:rsidRPr="0038234F" w:rsidRDefault="00C760FA" w:rsidP="006070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6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34F">
        <w:rPr>
          <w:rFonts w:ascii="Arial" w:hAnsi="Arial" w:cs="Arial"/>
          <w:color w:val="010000"/>
          <w:sz w:val="20"/>
        </w:rPr>
        <w:t xml:space="preserve">Supplement the Collateral: Supplement the </w:t>
      </w:r>
      <w:r w:rsidR="0038234F" w:rsidRPr="0038234F">
        <w:rPr>
          <w:rFonts w:ascii="Arial" w:hAnsi="Arial" w:cs="Arial"/>
          <w:color w:val="010000"/>
          <w:sz w:val="20"/>
        </w:rPr>
        <w:t xml:space="preserve">asset </w:t>
      </w:r>
      <w:r w:rsidRPr="0038234F">
        <w:rPr>
          <w:rFonts w:ascii="Arial" w:hAnsi="Arial" w:cs="Arial"/>
          <w:color w:val="010000"/>
          <w:sz w:val="20"/>
        </w:rPr>
        <w:t xml:space="preserve">rights incurred from the </w:t>
      </w:r>
      <w:r w:rsidR="0038234F" w:rsidRPr="0038234F">
        <w:rPr>
          <w:rFonts w:ascii="Arial" w:hAnsi="Arial" w:cs="Arial"/>
          <w:color w:val="010000"/>
          <w:sz w:val="20"/>
        </w:rPr>
        <w:t xml:space="preserve">27B </w:t>
      </w:r>
      <w:r w:rsidRPr="0038234F">
        <w:rPr>
          <w:rFonts w:ascii="Arial" w:hAnsi="Arial" w:cs="Arial"/>
          <w:color w:val="010000"/>
          <w:sz w:val="20"/>
        </w:rPr>
        <w:t>apartment</w:t>
      </w:r>
      <w:r w:rsidR="0038234F" w:rsidRPr="0038234F">
        <w:rPr>
          <w:rFonts w:ascii="Arial" w:hAnsi="Arial" w:cs="Arial"/>
          <w:color w:val="010000"/>
          <w:sz w:val="20"/>
        </w:rPr>
        <w:t>,</w:t>
      </w:r>
      <w:r w:rsidRPr="0038234F">
        <w:rPr>
          <w:rFonts w:ascii="Arial" w:hAnsi="Arial" w:cs="Arial"/>
          <w:color w:val="010000"/>
          <w:sz w:val="20"/>
        </w:rPr>
        <w:t xml:space="preserve"> </w:t>
      </w:r>
      <w:r w:rsidR="0038234F" w:rsidRPr="0038234F">
        <w:rPr>
          <w:rFonts w:ascii="Arial" w:hAnsi="Arial" w:cs="Arial"/>
          <w:color w:val="010000"/>
          <w:sz w:val="20"/>
        </w:rPr>
        <w:t>27</w:t>
      </w:r>
      <w:r w:rsidR="0038234F" w:rsidRPr="0038234F">
        <w:rPr>
          <w:rFonts w:ascii="Arial" w:hAnsi="Arial" w:cs="Arial"/>
          <w:color w:val="010000"/>
          <w:sz w:val="20"/>
          <w:vertAlign w:val="superscript"/>
        </w:rPr>
        <w:t>th</w:t>
      </w:r>
      <w:r w:rsidR="0038234F" w:rsidRPr="0038234F">
        <w:rPr>
          <w:rFonts w:ascii="Arial" w:hAnsi="Arial" w:cs="Arial"/>
          <w:color w:val="010000"/>
          <w:sz w:val="20"/>
        </w:rPr>
        <w:t xml:space="preserve"> floor,</w:t>
      </w:r>
      <w:r w:rsidRPr="0038234F">
        <w:rPr>
          <w:rFonts w:ascii="Arial" w:hAnsi="Arial" w:cs="Arial"/>
          <w:color w:val="010000"/>
          <w:sz w:val="20"/>
        </w:rPr>
        <w:t xml:space="preserve"> LICOGI13 Tower</w:t>
      </w:r>
      <w:r w:rsidR="0038234F" w:rsidRPr="0038234F">
        <w:rPr>
          <w:rFonts w:ascii="Arial" w:hAnsi="Arial" w:cs="Arial"/>
          <w:color w:val="010000"/>
          <w:sz w:val="20"/>
        </w:rPr>
        <w:t xml:space="preserve"> Building</w:t>
      </w:r>
      <w:r w:rsidRPr="0038234F">
        <w:rPr>
          <w:rFonts w:ascii="Arial" w:hAnsi="Arial" w:cs="Arial"/>
          <w:color w:val="010000"/>
          <w:sz w:val="20"/>
        </w:rPr>
        <w:t>, owned by a third party, as collateral for the LIGH2123001 bond.</w:t>
      </w:r>
    </w:p>
    <w:p w14:paraId="43525174" w14:textId="4D38454E" w:rsidR="00C27C69" w:rsidRPr="0038234F" w:rsidRDefault="00C760FA" w:rsidP="006070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6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34F">
        <w:rPr>
          <w:rFonts w:ascii="Arial" w:hAnsi="Arial" w:cs="Arial"/>
          <w:color w:val="010000"/>
          <w:sz w:val="20"/>
        </w:rPr>
        <w:lastRenderedPageBreak/>
        <w:t xml:space="preserve">Approve the current </w:t>
      </w:r>
      <w:r w:rsidR="0038234F" w:rsidRPr="0038234F">
        <w:rPr>
          <w:rFonts w:ascii="Arial" w:hAnsi="Arial" w:cs="Arial"/>
          <w:color w:val="010000"/>
          <w:sz w:val="20"/>
        </w:rPr>
        <w:t>assets that are pledged and expected to be pledged, which shall</w:t>
      </w:r>
      <w:r w:rsidRPr="0038234F">
        <w:rPr>
          <w:rFonts w:ascii="Arial" w:hAnsi="Arial" w:cs="Arial"/>
          <w:color w:val="010000"/>
          <w:sz w:val="20"/>
        </w:rPr>
        <w:t xml:space="preserve"> remain </w:t>
      </w:r>
      <w:r w:rsidR="0038234F" w:rsidRPr="0038234F">
        <w:rPr>
          <w:rFonts w:ascii="Arial" w:hAnsi="Arial" w:cs="Arial"/>
          <w:color w:val="010000"/>
          <w:sz w:val="20"/>
        </w:rPr>
        <w:t xml:space="preserve">pledged </w:t>
      </w:r>
      <w:r w:rsidRPr="0038234F">
        <w:rPr>
          <w:rFonts w:ascii="Arial" w:hAnsi="Arial" w:cs="Arial"/>
          <w:color w:val="010000"/>
          <w:sz w:val="20"/>
        </w:rPr>
        <w:t xml:space="preserve">throughout the bond term (except for the assets mentioned in section (a) above and incurred cases according to the provisions of the </w:t>
      </w:r>
      <w:r w:rsidR="0038234F" w:rsidRPr="0038234F">
        <w:rPr>
          <w:rFonts w:ascii="Arial" w:hAnsi="Arial" w:cs="Arial"/>
          <w:color w:val="010000"/>
          <w:sz w:val="20"/>
        </w:rPr>
        <w:t xml:space="preserve">Bond </w:t>
      </w:r>
      <w:r w:rsidRPr="0038234F">
        <w:rPr>
          <w:rFonts w:ascii="Arial" w:hAnsi="Arial" w:cs="Arial"/>
          <w:color w:val="010000"/>
          <w:sz w:val="20"/>
        </w:rPr>
        <w:t>Document</w:t>
      </w:r>
      <w:r w:rsidR="0038234F" w:rsidRPr="0038234F">
        <w:rPr>
          <w:rFonts w:ascii="Arial" w:hAnsi="Arial" w:cs="Arial"/>
          <w:color w:val="010000"/>
          <w:sz w:val="20"/>
        </w:rPr>
        <w:t>s</w:t>
      </w:r>
      <w:r w:rsidRPr="0038234F">
        <w:rPr>
          <w:rFonts w:ascii="Arial" w:hAnsi="Arial" w:cs="Arial"/>
          <w:color w:val="010000"/>
          <w:sz w:val="20"/>
        </w:rPr>
        <w:t xml:space="preserve"> when handling the collateral)</w:t>
      </w:r>
    </w:p>
    <w:p w14:paraId="480BB5A4" w14:textId="100EE778" w:rsidR="00C27C69" w:rsidRPr="0038234F" w:rsidRDefault="00C760FA" w:rsidP="006070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34F">
        <w:rPr>
          <w:rFonts w:ascii="Arial" w:hAnsi="Arial" w:cs="Arial"/>
          <w:color w:val="010000"/>
          <w:sz w:val="20"/>
        </w:rPr>
        <w:t xml:space="preserve">‎‎Article 3. The Board of Directors assigns the Legal Representative of the Company to implement tasks related to </w:t>
      </w:r>
      <w:r w:rsidR="0038234F" w:rsidRPr="0038234F">
        <w:rPr>
          <w:rFonts w:ascii="Arial" w:hAnsi="Arial" w:cs="Arial"/>
          <w:color w:val="010000"/>
          <w:sz w:val="20"/>
        </w:rPr>
        <w:t>collecting</w:t>
      </w:r>
      <w:r w:rsidRPr="0038234F">
        <w:rPr>
          <w:rFonts w:ascii="Arial" w:hAnsi="Arial" w:cs="Arial"/>
          <w:color w:val="010000"/>
          <w:sz w:val="20"/>
        </w:rPr>
        <w:t xml:space="preserve"> opinions and signing dossiers and documents related to the above-mentioned Bond, ensuring that the conditions and documents of the Bond comply with the provisions of the Law.</w:t>
      </w:r>
    </w:p>
    <w:p w14:paraId="04444101" w14:textId="517B674D" w:rsidR="00C27C69" w:rsidRPr="0038234F" w:rsidRDefault="00C760FA" w:rsidP="006070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34F">
        <w:rPr>
          <w:rFonts w:ascii="Arial" w:hAnsi="Arial" w:cs="Arial"/>
          <w:color w:val="010000"/>
          <w:sz w:val="20"/>
        </w:rPr>
        <w:t xml:space="preserve">This Resolution takes effect </w:t>
      </w:r>
      <w:r w:rsidR="0038234F" w:rsidRPr="0038234F">
        <w:rPr>
          <w:rFonts w:ascii="Arial" w:hAnsi="Arial" w:cs="Arial"/>
          <w:color w:val="010000"/>
          <w:sz w:val="20"/>
        </w:rPr>
        <w:t>from</w:t>
      </w:r>
      <w:r w:rsidRPr="0038234F">
        <w:rPr>
          <w:rFonts w:ascii="Arial" w:hAnsi="Arial" w:cs="Arial"/>
          <w:color w:val="010000"/>
          <w:sz w:val="20"/>
        </w:rPr>
        <w:t xml:space="preserve"> the date of its signing. The Board of Management</w:t>
      </w:r>
      <w:r w:rsidR="00607083">
        <w:rPr>
          <w:rFonts w:ascii="Arial" w:hAnsi="Arial" w:cs="Arial"/>
          <w:color w:val="010000"/>
          <w:sz w:val="20"/>
        </w:rPr>
        <w:t xml:space="preserve"> and heads</w:t>
      </w:r>
      <w:bookmarkStart w:id="0" w:name="_GoBack"/>
      <w:bookmarkEnd w:id="0"/>
      <w:r w:rsidRPr="0038234F">
        <w:rPr>
          <w:rFonts w:ascii="Arial" w:hAnsi="Arial" w:cs="Arial"/>
          <w:color w:val="010000"/>
          <w:sz w:val="20"/>
        </w:rPr>
        <w:t xml:space="preserve"> of Departments/Units of the Company are responsible for organizing and implementing the contents of this Resolution. </w:t>
      </w:r>
    </w:p>
    <w:sectPr w:rsidR="00C27C69" w:rsidRPr="0038234F" w:rsidSect="00C760F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65F3"/>
    <w:multiLevelType w:val="multilevel"/>
    <w:tmpl w:val="6100D1E2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Calibri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9A3270"/>
    <w:multiLevelType w:val="multilevel"/>
    <w:tmpl w:val="05E8CF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69"/>
    <w:rsid w:val="0017725F"/>
    <w:rsid w:val="001948FA"/>
    <w:rsid w:val="0038234F"/>
    <w:rsid w:val="00607083"/>
    <w:rsid w:val="00C27C69"/>
    <w:rsid w:val="00C7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BE492"/>
  <w15:docId w15:val="{D729903F-49B4-4373-853B-42ADB9FF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1rxxtdlEbj3bd5SrnZL68jw8hQ==">CgMxLjA4AHIhMUdjUkE0MDlvZGxxV2NQOHY2eFltNVJ0RzQ3OFpfQndm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2561</Characters>
  <Application>Microsoft Office Word</Application>
  <DocSecurity>0</DocSecurity>
  <Lines>71</Lines>
  <Paragraphs>52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2023-12-27T03:40:00Z</dcterms:created>
  <dcterms:modified xsi:type="dcterms:W3CDTF">2023-12-28T03:50:00Z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16369b556d237e61c8006d9c90df3456aeafff253a5e45a844a1c1d8d6f759bc</vt:lpwstr>
  </property>
</Properties>
</file>