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13B6" w14:textId="77777777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562D9">
        <w:rPr>
          <w:rFonts w:ascii="Arial" w:hAnsi="Arial" w:cs="Arial"/>
          <w:b/>
          <w:color w:val="010000"/>
          <w:sz w:val="20"/>
        </w:rPr>
        <w:t>PHS: Board Resolution</w:t>
      </w:r>
    </w:p>
    <w:p w14:paraId="22D1DDD3" w14:textId="77777777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On December 27, 2023, Phu Hung Securities Corporation announced Resolution No. 05/82_0823/NQ-HDQT as follows:</w:t>
      </w:r>
    </w:p>
    <w:p w14:paraId="68379DAC" w14:textId="67969B20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Article 1: Resolution</w:t>
      </w:r>
      <w:r w:rsidR="00F562D9" w:rsidRPr="00F562D9">
        <w:rPr>
          <w:rFonts w:ascii="Arial" w:hAnsi="Arial" w:cs="Arial"/>
          <w:color w:val="010000"/>
          <w:sz w:val="20"/>
        </w:rPr>
        <w:t xml:space="preserve"> No.</w:t>
      </w:r>
      <w:r w:rsidRPr="00F562D9">
        <w:rPr>
          <w:rFonts w:ascii="Arial" w:hAnsi="Arial" w:cs="Arial"/>
          <w:color w:val="010000"/>
          <w:sz w:val="20"/>
        </w:rPr>
        <w:t xml:space="preserve"> 4</w:t>
      </w:r>
    </w:p>
    <w:p w14:paraId="38A8CE44" w14:textId="77777777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The Board of Directors approves the extension of the overdraft with Joint Stock Commercial Bank for Investment and Development of Vietnam, Nam Ky Khoi Nghia Branch, with details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84"/>
        <w:gridCol w:w="6932"/>
      </w:tblGrid>
      <w:tr w:rsidR="00F562D9" w:rsidRPr="00F562D9" w14:paraId="0320D630" w14:textId="77777777" w:rsidTr="000A3270">
        <w:tc>
          <w:tcPr>
            <w:tcW w:w="1156" w:type="pct"/>
            <w:shd w:val="clear" w:color="auto" w:fill="auto"/>
            <w:vAlign w:val="center"/>
          </w:tcPr>
          <w:p w14:paraId="3EFDC711" w14:textId="7AFF4984" w:rsidR="00F562D9" w:rsidRPr="00F562D9" w:rsidRDefault="00F562D9" w:rsidP="00F5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Line of credit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28CAB224" w14:textId="77777777" w:rsidR="00F562D9" w:rsidRPr="00F562D9" w:rsidRDefault="00F562D9" w:rsidP="00F5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VND 100,000,000,000</w:t>
            </w:r>
          </w:p>
        </w:tc>
      </w:tr>
      <w:tr w:rsidR="00F562D9" w:rsidRPr="00F562D9" w14:paraId="60F42480" w14:textId="77777777" w:rsidTr="000A3270">
        <w:tc>
          <w:tcPr>
            <w:tcW w:w="1156" w:type="pct"/>
            <w:shd w:val="clear" w:color="auto" w:fill="auto"/>
            <w:vAlign w:val="center"/>
          </w:tcPr>
          <w:p w14:paraId="1DC5B160" w14:textId="2EB44357" w:rsidR="00F562D9" w:rsidRPr="00F562D9" w:rsidRDefault="00F562D9" w:rsidP="00F5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443283B9" w14:textId="77777777" w:rsidR="00F562D9" w:rsidRPr="00F562D9" w:rsidRDefault="00F562D9" w:rsidP="00F5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From December 30, 2023 to March 31, 2024.</w:t>
            </w:r>
          </w:p>
        </w:tc>
      </w:tr>
    </w:tbl>
    <w:p w14:paraId="1129299B" w14:textId="61972FDE" w:rsidR="00A746A1" w:rsidRPr="00F562D9" w:rsidRDefault="000A3270" w:rsidP="000A327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Article 2: Resolution</w:t>
      </w:r>
      <w:r w:rsidR="00F562D9" w:rsidRPr="00F562D9">
        <w:rPr>
          <w:rFonts w:ascii="Arial" w:hAnsi="Arial" w:cs="Arial"/>
          <w:color w:val="010000"/>
          <w:sz w:val="20"/>
        </w:rPr>
        <w:t xml:space="preserve"> </w:t>
      </w:r>
      <w:r w:rsidR="00F562D9" w:rsidRPr="00F562D9">
        <w:rPr>
          <w:rFonts w:ascii="Arial" w:hAnsi="Arial" w:cs="Arial"/>
          <w:color w:val="010000"/>
          <w:sz w:val="20"/>
        </w:rPr>
        <w:t>No.</w:t>
      </w:r>
      <w:r w:rsidRPr="00F562D9">
        <w:rPr>
          <w:rFonts w:ascii="Arial" w:hAnsi="Arial" w:cs="Arial"/>
          <w:color w:val="010000"/>
          <w:sz w:val="20"/>
        </w:rPr>
        <w:t xml:space="preserve"> 5</w:t>
      </w:r>
    </w:p>
    <w:p w14:paraId="732DD062" w14:textId="617478DB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The Board of Directors approves the extension of the line of credit with SinoPac</w:t>
      </w:r>
      <w:r w:rsidR="00F562D9" w:rsidRPr="00F562D9">
        <w:rPr>
          <w:rFonts w:ascii="Arial" w:hAnsi="Arial" w:cs="Arial"/>
          <w:color w:val="010000"/>
          <w:sz w:val="20"/>
        </w:rPr>
        <w:t xml:space="preserve"> </w:t>
      </w:r>
      <w:r w:rsidR="00F562D9" w:rsidRPr="00F562D9">
        <w:rPr>
          <w:rFonts w:ascii="Arial" w:hAnsi="Arial" w:cs="Arial"/>
          <w:color w:val="010000"/>
          <w:sz w:val="20"/>
        </w:rPr>
        <w:t>Bank</w:t>
      </w:r>
      <w:r w:rsidRPr="00F562D9">
        <w:rPr>
          <w:rFonts w:ascii="Arial" w:hAnsi="Arial" w:cs="Arial"/>
          <w:color w:val="010000"/>
          <w:sz w:val="20"/>
        </w:rPr>
        <w:t>, Ho Chi Minh City Branch, with the following details:</w:t>
      </w:r>
    </w:p>
    <w:p w14:paraId="3FA03ED5" w14:textId="4B9E171F" w:rsidR="00A746A1" w:rsidRPr="00F562D9" w:rsidRDefault="000A3270" w:rsidP="000A32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 xml:space="preserve">Short-term </w:t>
      </w:r>
      <w:r w:rsidR="00F562D9" w:rsidRPr="00F562D9">
        <w:rPr>
          <w:rFonts w:ascii="Arial" w:hAnsi="Arial" w:cs="Arial"/>
          <w:color w:val="010000"/>
          <w:sz w:val="20"/>
        </w:rPr>
        <w:t>Line of credit</w:t>
      </w:r>
      <w:r w:rsidRPr="00F562D9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90"/>
        <w:gridCol w:w="6926"/>
      </w:tblGrid>
      <w:tr w:rsidR="00A746A1" w:rsidRPr="00F562D9" w14:paraId="369E2BC5" w14:textId="77777777" w:rsidTr="000A3270">
        <w:tc>
          <w:tcPr>
            <w:tcW w:w="1159" w:type="pct"/>
            <w:shd w:val="clear" w:color="auto" w:fill="auto"/>
            <w:vAlign w:val="center"/>
          </w:tcPr>
          <w:p w14:paraId="01973558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Line of credit</w:t>
            </w:r>
          </w:p>
        </w:tc>
        <w:tc>
          <w:tcPr>
            <w:tcW w:w="3841" w:type="pct"/>
            <w:shd w:val="clear" w:color="auto" w:fill="auto"/>
            <w:vAlign w:val="center"/>
          </w:tcPr>
          <w:p w14:paraId="20E61AC8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 xml:space="preserve">USD 1,500,000 </w:t>
            </w:r>
          </w:p>
        </w:tc>
      </w:tr>
      <w:tr w:rsidR="00A746A1" w:rsidRPr="00F562D9" w14:paraId="544C7599" w14:textId="77777777" w:rsidTr="000A3270">
        <w:tc>
          <w:tcPr>
            <w:tcW w:w="1159" w:type="pct"/>
            <w:shd w:val="clear" w:color="auto" w:fill="auto"/>
            <w:vAlign w:val="center"/>
          </w:tcPr>
          <w:p w14:paraId="6D0203FC" w14:textId="54883A25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41" w:type="pct"/>
            <w:shd w:val="clear" w:color="auto" w:fill="auto"/>
            <w:vAlign w:val="center"/>
          </w:tcPr>
          <w:p w14:paraId="015FD3C9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From the date of signing to November 30, 2024.</w:t>
            </w:r>
          </w:p>
        </w:tc>
      </w:tr>
    </w:tbl>
    <w:p w14:paraId="1448558A" w14:textId="77777777" w:rsidR="00A746A1" w:rsidRPr="00F562D9" w:rsidRDefault="000A3270" w:rsidP="000A32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Short-term transaction limit (TMU limit)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88"/>
        <w:gridCol w:w="6928"/>
      </w:tblGrid>
      <w:tr w:rsidR="00A746A1" w:rsidRPr="00F562D9" w14:paraId="1E6F2278" w14:textId="77777777" w:rsidTr="000A3270">
        <w:tc>
          <w:tcPr>
            <w:tcW w:w="1158" w:type="pct"/>
            <w:shd w:val="clear" w:color="auto" w:fill="auto"/>
            <w:vAlign w:val="center"/>
          </w:tcPr>
          <w:p w14:paraId="36063DBD" w14:textId="0AE9D575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Short-term TMU limit</w:t>
            </w:r>
          </w:p>
        </w:tc>
        <w:tc>
          <w:tcPr>
            <w:tcW w:w="3842" w:type="pct"/>
            <w:shd w:val="clear" w:color="auto" w:fill="auto"/>
            <w:vAlign w:val="center"/>
          </w:tcPr>
          <w:p w14:paraId="287B54C0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 xml:space="preserve">USD 860,000 </w:t>
            </w:r>
          </w:p>
        </w:tc>
      </w:tr>
      <w:tr w:rsidR="00A746A1" w:rsidRPr="00F562D9" w14:paraId="7A233281" w14:textId="77777777" w:rsidTr="000A3270">
        <w:tc>
          <w:tcPr>
            <w:tcW w:w="1158" w:type="pct"/>
            <w:shd w:val="clear" w:color="auto" w:fill="auto"/>
            <w:vAlign w:val="center"/>
          </w:tcPr>
          <w:p w14:paraId="288A0B78" w14:textId="44D963EB" w:rsidR="00A746A1" w:rsidRPr="00F562D9" w:rsidRDefault="00F562D9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eastAsia="Arial" w:hAnsi="Arial" w:cs="Arial"/>
                <w:color w:val="010000"/>
                <w:sz w:val="20"/>
                <w:szCs w:val="20"/>
              </w:rPr>
              <w:t>Term</w:t>
            </w:r>
          </w:p>
        </w:tc>
        <w:tc>
          <w:tcPr>
            <w:tcW w:w="3842" w:type="pct"/>
            <w:shd w:val="clear" w:color="auto" w:fill="auto"/>
            <w:vAlign w:val="center"/>
          </w:tcPr>
          <w:p w14:paraId="52E6C512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From the date of signing to November 30, 2024.</w:t>
            </w:r>
          </w:p>
        </w:tc>
      </w:tr>
    </w:tbl>
    <w:p w14:paraId="33557F71" w14:textId="0B065C92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 xml:space="preserve">Article 3: Resolution </w:t>
      </w:r>
      <w:r w:rsidR="00F562D9" w:rsidRPr="00F562D9">
        <w:rPr>
          <w:rFonts w:ascii="Arial" w:hAnsi="Arial" w:cs="Arial"/>
          <w:color w:val="010000"/>
          <w:sz w:val="20"/>
        </w:rPr>
        <w:t>No.</w:t>
      </w:r>
      <w:r w:rsidR="00F562D9" w:rsidRPr="00F562D9">
        <w:rPr>
          <w:rFonts w:ascii="Arial" w:hAnsi="Arial" w:cs="Arial"/>
          <w:color w:val="010000"/>
          <w:sz w:val="20"/>
        </w:rPr>
        <w:t xml:space="preserve"> </w:t>
      </w:r>
      <w:r w:rsidRPr="00F562D9">
        <w:rPr>
          <w:rFonts w:ascii="Arial" w:hAnsi="Arial" w:cs="Arial"/>
          <w:color w:val="010000"/>
          <w:sz w:val="20"/>
        </w:rPr>
        <w:t>6</w:t>
      </w:r>
    </w:p>
    <w:p w14:paraId="7206E033" w14:textId="77777777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The Board of Directors approved the extension of the Line of credit with SinoPac Bank - OBU, with the details as follows: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2"/>
        <w:gridCol w:w="6894"/>
      </w:tblGrid>
      <w:tr w:rsidR="00A746A1" w:rsidRPr="00F562D9" w14:paraId="130AD72B" w14:textId="77777777" w:rsidTr="000A3270">
        <w:tc>
          <w:tcPr>
            <w:tcW w:w="1177" w:type="pct"/>
            <w:shd w:val="clear" w:color="auto" w:fill="auto"/>
            <w:vAlign w:val="center"/>
          </w:tcPr>
          <w:p w14:paraId="0CD3EFAE" w14:textId="4C4D4CB0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23" w:type="pct"/>
            <w:shd w:val="clear" w:color="auto" w:fill="auto"/>
            <w:vAlign w:val="center"/>
          </w:tcPr>
          <w:p w14:paraId="399E9019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 xml:space="preserve">USD 10,000,000 </w:t>
            </w:r>
          </w:p>
        </w:tc>
      </w:tr>
      <w:tr w:rsidR="00A746A1" w:rsidRPr="00F562D9" w14:paraId="3839E828" w14:textId="77777777" w:rsidTr="000A3270">
        <w:tc>
          <w:tcPr>
            <w:tcW w:w="1177" w:type="pct"/>
            <w:shd w:val="clear" w:color="auto" w:fill="auto"/>
            <w:vAlign w:val="center"/>
          </w:tcPr>
          <w:p w14:paraId="21ED360F" w14:textId="4C83E1B1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23" w:type="pct"/>
            <w:shd w:val="clear" w:color="auto" w:fill="auto"/>
            <w:vAlign w:val="center"/>
          </w:tcPr>
          <w:p w14:paraId="243FA216" w14:textId="36054F8F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 xml:space="preserve">From the date of </w:t>
            </w:r>
            <w:r w:rsidR="00F562D9" w:rsidRPr="00F562D9">
              <w:rPr>
                <w:rFonts w:ascii="Arial" w:hAnsi="Arial" w:cs="Arial"/>
                <w:color w:val="010000"/>
                <w:sz w:val="20"/>
              </w:rPr>
              <w:t>taking</w:t>
            </w:r>
            <w:r w:rsidRPr="00F562D9">
              <w:rPr>
                <w:rFonts w:ascii="Arial" w:hAnsi="Arial" w:cs="Arial"/>
                <w:color w:val="010000"/>
                <w:sz w:val="20"/>
              </w:rPr>
              <w:t xml:space="preserve"> effect to November 30, 2024 </w:t>
            </w:r>
          </w:p>
        </w:tc>
      </w:tr>
    </w:tbl>
    <w:p w14:paraId="208C08EC" w14:textId="6A2AE7AA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 xml:space="preserve">Article 4: Resolution </w:t>
      </w:r>
      <w:r w:rsidR="00F562D9" w:rsidRPr="00F562D9">
        <w:rPr>
          <w:rFonts w:ascii="Arial" w:hAnsi="Arial" w:cs="Arial"/>
          <w:color w:val="010000"/>
          <w:sz w:val="20"/>
        </w:rPr>
        <w:t>No.</w:t>
      </w:r>
      <w:r w:rsidR="00F562D9" w:rsidRPr="00F562D9">
        <w:rPr>
          <w:rFonts w:ascii="Arial" w:hAnsi="Arial" w:cs="Arial"/>
          <w:color w:val="010000"/>
          <w:sz w:val="20"/>
        </w:rPr>
        <w:t xml:space="preserve"> </w:t>
      </w:r>
      <w:r w:rsidRPr="00F562D9">
        <w:rPr>
          <w:rFonts w:ascii="Arial" w:hAnsi="Arial" w:cs="Arial"/>
          <w:color w:val="010000"/>
          <w:sz w:val="20"/>
        </w:rPr>
        <w:t>7</w:t>
      </w:r>
    </w:p>
    <w:p w14:paraId="373EF6AA" w14:textId="3C842E8C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 xml:space="preserve">The Board of Directors approved the </w:t>
      </w:r>
      <w:r w:rsidR="00F562D9" w:rsidRPr="00F562D9">
        <w:rPr>
          <w:rFonts w:ascii="Arial" w:hAnsi="Arial" w:cs="Arial"/>
          <w:color w:val="010000"/>
          <w:sz w:val="20"/>
        </w:rPr>
        <w:t>renewal of Line of credit</w:t>
      </w:r>
      <w:r w:rsidRPr="00F562D9">
        <w:rPr>
          <w:rFonts w:ascii="Arial" w:hAnsi="Arial" w:cs="Arial"/>
          <w:color w:val="010000"/>
          <w:sz w:val="20"/>
        </w:rPr>
        <w:t xml:space="preserve"> with Yuanta Commercial Bank, Offshore Branch, details are as follows: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97"/>
        <w:gridCol w:w="6919"/>
      </w:tblGrid>
      <w:tr w:rsidR="00A746A1" w:rsidRPr="00F562D9" w14:paraId="1C79A2C3" w14:textId="77777777" w:rsidTr="000A3270">
        <w:tc>
          <w:tcPr>
            <w:tcW w:w="1163" w:type="pct"/>
            <w:shd w:val="clear" w:color="auto" w:fill="auto"/>
            <w:vAlign w:val="center"/>
          </w:tcPr>
          <w:p w14:paraId="0589A2B1" w14:textId="04C9F59F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3837" w:type="pct"/>
            <w:shd w:val="clear" w:color="auto" w:fill="auto"/>
            <w:vAlign w:val="center"/>
          </w:tcPr>
          <w:p w14:paraId="0C3305FE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 xml:space="preserve">USD 5,000,000 </w:t>
            </w:r>
          </w:p>
        </w:tc>
      </w:tr>
      <w:tr w:rsidR="00A746A1" w:rsidRPr="00F562D9" w14:paraId="63C1B944" w14:textId="77777777" w:rsidTr="000A3270">
        <w:tc>
          <w:tcPr>
            <w:tcW w:w="1163" w:type="pct"/>
            <w:shd w:val="clear" w:color="auto" w:fill="auto"/>
            <w:vAlign w:val="center"/>
          </w:tcPr>
          <w:p w14:paraId="0165E33E" w14:textId="52E091FA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Loan term</w:t>
            </w:r>
          </w:p>
        </w:tc>
        <w:tc>
          <w:tcPr>
            <w:tcW w:w="3837" w:type="pct"/>
            <w:shd w:val="clear" w:color="auto" w:fill="auto"/>
            <w:vAlign w:val="center"/>
          </w:tcPr>
          <w:p w14:paraId="3CCB712E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1 year</w:t>
            </w:r>
          </w:p>
        </w:tc>
      </w:tr>
    </w:tbl>
    <w:p w14:paraId="19ED5CEB" w14:textId="191F1C45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Article 5: Resolution</w:t>
      </w:r>
      <w:r w:rsidR="00F562D9" w:rsidRPr="00F562D9">
        <w:rPr>
          <w:rFonts w:ascii="Arial" w:hAnsi="Arial" w:cs="Arial"/>
          <w:color w:val="010000"/>
          <w:sz w:val="20"/>
        </w:rPr>
        <w:t xml:space="preserve"> </w:t>
      </w:r>
      <w:r w:rsidR="00F562D9" w:rsidRPr="00F562D9">
        <w:rPr>
          <w:rFonts w:ascii="Arial" w:hAnsi="Arial" w:cs="Arial"/>
          <w:color w:val="010000"/>
          <w:sz w:val="20"/>
        </w:rPr>
        <w:t>No.</w:t>
      </w:r>
      <w:r w:rsidRPr="00F562D9">
        <w:rPr>
          <w:rFonts w:ascii="Arial" w:hAnsi="Arial" w:cs="Arial"/>
          <w:color w:val="010000"/>
          <w:sz w:val="20"/>
        </w:rPr>
        <w:t xml:space="preserve"> 8</w:t>
      </w:r>
    </w:p>
    <w:p w14:paraId="42125679" w14:textId="134DA82D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 xml:space="preserve">The Board of Directors approves the </w:t>
      </w:r>
      <w:r w:rsidR="00F562D9" w:rsidRPr="00F562D9">
        <w:rPr>
          <w:rFonts w:ascii="Arial" w:hAnsi="Arial" w:cs="Arial"/>
          <w:color w:val="010000"/>
          <w:sz w:val="20"/>
        </w:rPr>
        <w:t>pre-payment risk limit</w:t>
      </w:r>
      <w:r w:rsidR="00F562D9" w:rsidRPr="00F562D9">
        <w:rPr>
          <w:rFonts w:ascii="Arial" w:hAnsi="Arial" w:cs="Arial"/>
          <w:color w:val="010000"/>
          <w:sz w:val="20"/>
        </w:rPr>
        <w:t xml:space="preserve"> with Cathay United - </w:t>
      </w:r>
      <w:r w:rsidR="00F562D9" w:rsidRPr="00F562D9">
        <w:rPr>
          <w:rFonts w:ascii="Arial" w:hAnsi="Arial" w:cs="Arial"/>
          <w:color w:val="010000"/>
          <w:sz w:val="20"/>
        </w:rPr>
        <w:t>Ho Chi Minh City Branch</w:t>
      </w:r>
      <w:r w:rsidR="00F562D9" w:rsidRPr="00F562D9">
        <w:rPr>
          <w:rFonts w:ascii="Arial" w:hAnsi="Arial" w:cs="Arial"/>
          <w:color w:val="010000"/>
          <w:sz w:val="20"/>
        </w:rPr>
        <w:t xml:space="preserve"> </w:t>
      </w:r>
      <w:r w:rsidRPr="00F562D9">
        <w:rPr>
          <w:rFonts w:ascii="Arial" w:hAnsi="Arial" w:cs="Arial"/>
          <w:color w:val="010000"/>
          <w:sz w:val="20"/>
        </w:rPr>
        <w:t>with the following details: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81"/>
        <w:gridCol w:w="6935"/>
      </w:tblGrid>
      <w:tr w:rsidR="00A746A1" w:rsidRPr="00F562D9" w14:paraId="24BFE4D4" w14:textId="77777777" w:rsidTr="000A3270">
        <w:tc>
          <w:tcPr>
            <w:tcW w:w="1154" w:type="pct"/>
            <w:shd w:val="clear" w:color="auto" w:fill="auto"/>
            <w:vAlign w:val="center"/>
          </w:tcPr>
          <w:p w14:paraId="548C3526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 xml:space="preserve">Financial transaction </w:t>
            </w:r>
            <w:r w:rsidRPr="00F562D9">
              <w:rPr>
                <w:rFonts w:ascii="Arial" w:hAnsi="Arial" w:cs="Arial"/>
                <w:color w:val="010000"/>
                <w:sz w:val="20"/>
              </w:rPr>
              <w:lastRenderedPageBreak/>
              <w:t>limit</w:t>
            </w:r>
          </w:p>
        </w:tc>
        <w:tc>
          <w:tcPr>
            <w:tcW w:w="3846" w:type="pct"/>
            <w:shd w:val="clear" w:color="auto" w:fill="auto"/>
            <w:vAlign w:val="center"/>
          </w:tcPr>
          <w:p w14:paraId="21DFE0CD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USD 4,000,000 </w:t>
            </w:r>
          </w:p>
        </w:tc>
      </w:tr>
      <w:tr w:rsidR="00A746A1" w:rsidRPr="00F562D9" w14:paraId="298312BE" w14:textId="77777777" w:rsidTr="000A3270">
        <w:tc>
          <w:tcPr>
            <w:tcW w:w="1154" w:type="pct"/>
            <w:shd w:val="clear" w:color="auto" w:fill="auto"/>
            <w:vAlign w:val="center"/>
          </w:tcPr>
          <w:p w14:paraId="70BA5003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Validity period of the limit</w:t>
            </w:r>
          </w:p>
        </w:tc>
        <w:tc>
          <w:tcPr>
            <w:tcW w:w="3846" w:type="pct"/>
            <w:shd w:val="clear" w:color="auto" w:fill="auto"/>
            <w:vAlign w:val="center"/>
          </w:tcPr>
          <w:p w14:paraId="369C695E" w14:textId="77777777" w:rsidR="00A746A1" w:rsidRPr="00F562D9" w:rsidRDefault="000A3270" w:rsidP="000A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562D9">
              <w:rPr>
                <w:rFonts w:ascii="Arial" w:hAnsi="Arial" w:cs="Arial"/>
                <w:color w:val="010000"/>
                <w:sz w:val="20"/>
              </w:rPr>
              <w:t>From September 25, 2023 to September 24, 2024.</w:t>
            </w:r>
          </w:p>
        </w:tc>
      </w:tr>
    </w:tbl>
    <w:p w14:paraId="2472C377" w14:textId="77777777" w:rsidR="00A746A1" w:rsidRPr="00F562D9" w:rsidRDefault="000A3270" w:rsidP="000A327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Article 6: Organization and Implementation</w:t>
      </w:r>
    </w:p>
    <w:p w14:paraId="61C167CC" w14:textId="77777777" w:rsidR="00A746A1" w:rsidRPr="00F562D9" w:rsidRDefault="000A3270" w:rsidP="000A3270">
      <w:pPr>
        <w:pBdr>
          <w:top w:val="nil"/>
          <w:left w:val="nil"/>
          <w:bottom w:val="nil"/>
          <w:right w:val="nil"/>
          <w:between w:val="nil"/>
        </w:pBdr>
        <w:tabs>
          <w:tab w:val="left" w:pos="54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2D9">
        <w:rPr>
          <w:rFonts w:ascii="Arial" w:hAnsi="Arial" w:cs="Arial"/>
          <w:color w:val="010000"/>
          <w:sz w:val="20"/>
        </w:rPr>
        <w:t>The Board of Directors, the Supervisory Board, the General Manager and all employees of Phu Hung Securities Corporation are responsible for implementing this Resolution from the date of its signing.</w:t>
      </w:r>
      <w:r w:rsidRPr="00F562D9">
        <w:rPr>
          <w:rFonts w:ascii="Arial" w:hAnsi="Arial" w:cs="Arial"/>
          <w:color w:val="010000"/>
          <w:sz w:val="20"/>
        </w:rPr>
        <w:tab/>
      </w:r>
    </w:p>
    <w:sectPr w:rsidR="00A746A1" w:rsidRPr="00F562D9" w:rsidSect="000A327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447A"/>
    <w:multiLevelType w:val="multilevel"/>
    <w:tmpl w:val="90DE14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A1"/>
    <w:rsid w:val="000A3270"/>
    <w:rsid w:val="00245C2D"/>
    <w:rsid w:val="00A746A1"/>
    <w:rsid w:val="00B66C51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A5809"/>
  <w15:docId w15:val="{B854A06F-C549-4467-8709-591DCF7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v5uwbYTYETLxD2x0W7qQ3x1GIg==">CgMxLjA4AHIhMVdsUFlJc3I1TG9XOWdhRFVEYS1rNWRfbFpMOU9NTVBy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1526</Characters>
  <Application>Microsoft Office Word</Application>
  <DocSecurity>0</DocSecurity>
  <Lines>50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2023-12-28T03:48:00Z</dcterms:created>
  <dcterms:modified xsi:type="dcterms:W3CDTF">2023-12-29T02:35:00Z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00086de9390f21995cb8fcfb2c838e9b3af4b7291dbaf22eb91b769027288b06</vt:lpwstr>
  </property>
</Properties>
</file>