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0C6DD" w14:textId="0768C02E" w:rsidR="004924BE" w:rsidRPr="00A04973" w:rsidRDefault="004924BE" w:rsidP="00CE039A">
      <w:pPr>
        <w:pStyle w:val="BodyText"/>
        <w:spacing w:after="120" w:line="360" w:lineRule="auto"/>
        <w:ind w:firstLine="0"/>
        <w:rPr>
          <w:rFonts w:ascii="Arial" w:hAnsi="Arial" w:cs="Arial"/>
          <w:b/>
          <w:bCs/>
          <w:color w:val="010000"/>
          <w:sz w:val="20"/>
          <w:szCs w:val="20"/>
        </w:rPr>
      </w:pPr>
      <w:r w:rsidRPr="00A04973">
        <w:rPr>
          <w:rFonts w:ascii="Arial" w:hAnsi="Arial" w:cs="Arial"/>
          <w:b/>
          <w:color w:val="010000"/>
          <w:sz w:val="20"/>
          <w:szCs w:val="20"/>
        </w:rPr>
        <w:t>QNS: Board Resolution</w:t>
      </w:r>
    </w:p>
    <w:p w14:paraId="05ADE3D9" w14:textId="5F67ECC1" w:rsidR="00383669" w:rsidRPr="00A04973" w:rsidRDefault="001B3ED0" w:rsidP="00CE039A">
      <w:pPr>
        <w:pStyle w:val="BodyText"/>
        <w:spacing w:after="120" w:line="360" w:lineRule="auto"/>
        <w:ind w:firstLine="0"/>
        <w:rPr>
          <w:rFonts w:ascii="Arial" w:hAnsi="Arial" w:cs="Arial"/>
          <w:color w:val="010000"/>
          <w:sz w:val="20"/>
          <w:szCs w:val="20"/>
        </w:rPr>
      </w:pPr>
      <w:r w:rsidRPr="00A04973">
        <w:rPr>
          <w:rFonts w:ascii="Arial" w:hAnsi="Arial" w:cs="Arial"/>
          <w:color w:val="010000"/>
          <w:sz w:val="20"/>
          <w:szCs w:val="20"/>
        </w:rPr>
        <w:t>On December 2</w:t>
      </w:r>
      <w:r w:rsidR="00A04973">
        <w:rPr>
          <w:rFonts w:ascii="Arial" w:hAnsi="Arial" w:cs="Arial"/>
          <w:color w:val="010000"/>
          <w:sz w:val="20"/>
          <w:szCs w:val="20"/>
        </w:rPr>
        <w:t>5</w:t>
      </w:r>
      <w:r w:rsidRPr="00A04973">
        <w:rPr>
          <w:rFonts w:ascii="Arial" w:hAnsi="Arial" w:cs="Arial"/>
          <w:color w:val="010000"/>
          <w:sz w:val="20"/>
          <w:szCs w:val="20"/>
        </w:rPr>
        <w:t>, 2023, Quang Ngai Sugar Joint Stock Com</w:t>
      </w:r>
      <w:r w:rsidR="00A04973">
        <w:rPr>
          <w:rFonts w:ascii="Arial" w:hAnsi="Arial" w:cs="Arial"/>
          <w:color w:val="010000"/>
          <w:sz w:val="20"/>
          <w:szCs w:val="20"/>
        </w:rPr>
        <w:t>pany announced Resolution No. 62</w:t>
      </w:r>
      <w:r w:rsidRPr="00A04973">
        <w:rPr>
          <w:rFonts w:ascii="Arial" w:hAnsi="Arial" w:cs="Arial"/>
          <w:color w:val="010000"/>
          <w:sz w:val="20"/>
          <w:szCs w:val="20"/>
        </w:rPr>
        <w:t>/NQ/QNS-HDQT as follows:</w:t>
      </w:r>
    </w:p>
    <w:p w14:paraId="37BAB0AE" w14:textId="77777777" w:rsidR="00A04973" w:rsidRPr="00A04973" w:rsidRDefault="00A04973" w:rsidP="00A04973">
      <w:pPr>
        <w:pStyle w:val="BodyText"/>
        <w:spacing w:after="120" w:line="360" w:lineRule="auto"/>
        <w:ind w:firstLine="0"/>
        <w:rPr>
          <w:rFonts w:ascii="Arial" w:hAnsi="Arial" w:cs="Arial"/>
          <w:color w:val="010000"/>
          <w:sz w:val="20"/>
          <w:szCs w:val="20"/>
        </w:rPr>
      </w:pPr>
      <w:r w:rsidRPr="00A04973">
        <w:rPr>
          <w:rFonts w:ascii="Arial" w:hAnsi="Arial" w:cs="Arial"/>
          <w:color w:val="010000"/>
          <w:sz w:val="20"/>
          <w:szCs w:val="20"/>
        </w:rPr>
        <w:t>Article 1. Decision</w:t>
      </w:r>
    </w:p>
    <w:p w14:paraId="1018C6CD" w14:textId="77777777" w:rsidR="00A04973" w:rsidRPr="00A04973" w:rsidRDefault="00A04973" w:rsidP="00A04973">
      <w:pPr>
        <w:pStyle w:val="BodyText"/>
        <w:spacing w:after="120" w:line="360" w:lineRule="auto"/>
        <w:rPr>
          <w:rFonts w:ascii="Arial" w:hAnsi="Arial" w:cs="Arial"/>
          <w:color w:val="010000"/>
          <w:sz w:val="20"/>
          <w:szCs w:val="20"/>
        </w:rPr>
      </w:pPr>
      <w:r w:rsidRPr="00A04973">
        <w:rPr>
          <w:rFonts w:ascii="Arial" w:hAnsi="Arial" w:cs="Arial"/>
          <w:color w:val="010000"/>
          <w:sz w:val="20"/>
          <w:szCs w:val="20"/>
        </w:rPr>
        <w:t>1. Approval of the 2024 production and business plan of Quang Ngai Sugar Joint Stock Company with the following main targets:</w:t>
      </w:r>
    </w:p>
    <w:p w14:paraId="218F53CE" w14:textId="77777777" w:rsidR="00A04973" w:rsidRPr="00A04973" w:rsidRDefault="00A04973" w:rsidP="00A04973">
      <w:pPr>
        <w:pStyle w:val="BodyText"/>
        <w:spacing w:after="120" w:line="360" w:lineRule="auto"/>
        <w:rPr>
          <w:rFonts w:ascii="Arial" w:hAnsi="Arial" w:cs="Arial"/>
          <w:color w:val="010000"/>
          <w:sz w:val="20"/>
          <w:szCs w:val="20"/>
        </w:rPr>
      </w:pPr>
      <w:r w:rsidRPr="00A04973">
        <w:rPr>
          <w:rFonts w:ascii="Arial" w:hAnsi="Arial" w:cs="Arial"/>
          <w:color w:val="010000"/>
          <w:sz w:val="20"/>
          <w:szCs w:val="20"/>
        </w:rPr>
        <w:t>Unit: Million VND</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44"/>
        <w:gridCol w:w="662"/>
        <w:gridCol w:w="1430"/>
        <w:gridCol w:w="1622"/>
        <w:gridCol w:w="1459"/>
      </w:tblGrid>
      <w:tr w:rsidR="00A04973" w:rsidRPr="00A04973" w14:paraId="08DB0E6F" w14:textId="77777777" w:rsidTr="00D34CF5">
        <w:tblPrEx>
          <w:tblCellMar>
            <w:top w:w="0" w:type="dxa"/>
            <w:bottom w:w="0" w:type="dxa"/>
          </w:tblCellMar>
        </w:tblPrEx>
        <w:trPr>
          <w:trHeight w:hRule="exact" w:val="917"/>
          <w:jc w:val="center"/>
        </w:trPr>
        <w:tc>
          <w:tcPr>
            <w:tcW w:w="3744" w:type="dxa"/>
            <w:tcBorders>
              <w:top w:val="single" w:sz="4" w:space="0" w:color="auto"/>
              <w:left w:val="single" w:sz="4" w:space="0" w:color="auto"/>
            </w:tcBorders>
            <w:shd w:val="clear" w:color="auto" w:fill="FFFFFF"/>
            <w:vAlign w:val="center"/>
          </w:tcPr>
          <w:p w14:paraId="41693618" w14:textId="78236E72" w:rsidR="00A04973" w:rsidRPr="00A04973" w:rsidRDefault="00A04973" w:rsidP="00D34CF5">
            <w:pPr>
              <w:pStyle w:val="Khc0"/>
              <w:spacing w:after="0" w:line="240" w:lineRule="auto"/>
              <w:ind w:left="1740" w:firstLine="0"/>
              <w:rPr>
                <w:rFonts w:ascii="Arial" w:hAnsi="Arial" w:cs="Arial"/>
                <w:color w:val="auto"/>
                <w:sz w:val="20"/>
                <w:szCs w:val="20"/>
              </w:rPr>
            </w:pPr>
            <w:r w:rsidRPr="00A04973">
              <w:rPr>
                <w:rFonts w:ascii="Arial" w:hAnsi="Arial" w:cs="Arial"/>
                <w:b/>
                <w:bCs/>
                <w:color w:val="auto"/>
                <w:sz w:val="20"/>
                <w:szCs w:val="20"/>
              </w:rPr>
              <w:t>Targets</w:t>
            </w:r>
          </w:p>
        </w:tc>
        <w:tc>
          <w:tcPr>
            <w:tcW w:w="662" w:type="dxa"/>
            <w:tcBorders>
              <w:top w:val="single" w:sz="4" w:space="0" w:color="auto"/>
            </w:tcBorders>
            <w:shd w:val="clear" w:color="auto" w:fill="FFFFFF"/>
          </w:tcPr>
          <w:p w14:paraId="7C4D011F" w14:textId="77777777" w:rsidR="00A04973" w:rsidRPr="00A04973" w:rsidRDefault="00A04973" w:rsidP="00D34CF5">
            <w:pPr>
              <w:rPr>
                <w:rFonts w:ascii="Arial" w:hAnsi="Arial" w:cs="Arial"/>
                <w:color w:val="auto"/>
                <w:sz w:val="20"/>
                <w:szCs w:val="20"/>
              </w:rPr>
            </w:pPr>
          </w:p>
        </w:tc>
        <w:tc>
          <w:tcPr>
            <w:tcW w:w="1430" w:type="dxa"/>
            <w:tcBorders>
              <w:top w:val="single" w:sz="4" w:space="0" w:color="auto"/>
              <w:left w:val="single" w:sz="4" w:space="0" w:color="auto"/>
            </w:tcBorders>
            <w:shd w:val="clear" w:color="auto" w:fill="FFFFFF"/>
            <w:vAlign w:val="center"/>
          </w:tcPr>
          <w:p w14:paraId="3130EA43" w14:textId="0CCF7EE1" w:rsidR="00A04973" w:rsidRPr="00A04973" w:rsidRDefault="00A04973" w:rsidP="00D34CF5">
            <w:pPr>
              <w:pStyle w:val="Khc0"/>
              <w:spacing w:after="0" w:line="264" w:lineRule="auto"/>
              <w:ind w:left="180" w:firstLine="0"/>
              <w:rPr>
                <w:rFonts w:ascii="Arial" w:hAnsi="Arial" w:cs="Arial"/>
                <w:color w:val="auto"/>
                <w:sz w:val="20"/>
                <w:szCs w:val="20"/>
              </w:rPr>
            </w:pPr>
            <w:r w:rsidRPr="00A04973">
              <w:rPr>
                <w:rFonts w:ascii="Arial" w:hAnsi="Arial" w:cs="Arial"/>
                <w:b/>
                <w:bCs/>
                <w:color w:val="auto"/>
                <w:sz w:val="20"/>
                <w:szCs w:val="20"/>
              </w:rPr>
              <w:t>Plan for 2023</w:t>
            </w:r>
          </w:p>
        </w:tc>
        <w:tc>
          <w:tcPr>
            <w:tcW w:w="1622" w:type="dxa"/>
            <w:tcBorders>
              <w:top w:val="single" w:sz="4" w:space="0" w:color="auto"/>
              <w:left w:val="single" w:sz="4" w:space="0" w:color="auto"/>
            </w:tcBorders>
            <w:shd w:val="clear" w:color="auto" w:fill="FFFFFF"/>
            <w:vAlign w:val="bottom"/>
          </w:tcPr>
          <w:p w14:paraId="3C97EAAD" w14:textId="5316A264" w:rsidR="00A04973" w:rsidRPr="00A04973" w:rsidRDefault="00A04973" w:rsidP="00D34CF5">
            <w:pPr>
              <w:pStyle w:val="Khc0"/>
              <w:spacing w:after="0" w:line="262" w:lineRule="auto"/>
              <w:ind w:firstLine="0"/>
              <w:jc w:val="center"/>
              <w:rPr>
                <w:rFonts w:ascii="Arial" w:hAnsi="Arial" w:cs="Arial"/>
                <w:color w:val="auto"/>
                <w:sz w:val="20"/>
                <w:szCs w:val="20"/>
              </w:rPr>
            </w:pPr>
            <w:r w:rsidRPr="00A04973">
              <w:rPr>
                <w:rFonts w:ascii="Arial" w:hAnsi="Arial" w:cs="Arial"/>
                <w:b/>
                <w:bCs/>
                <w:color w:val="auto"/>
                <w:sz w:val="20"/>
                <w:szCs w:val="20"/>
              </w:rPr>
              <w:t>Estimated implementation year *2023</w:t>
            </w:r>
          </w:p>
        </w:tc>
        <w:tc>
          <w:tcPr>
            <w:tcW w:w="1459" w:type="dxa"/>
            <w:tcBorders>
              <w:top w:val="single" w:sz="4" w:space="0" w:color="auto"/>
              <w:left w:val="single" w:sz="4" w:space="0" w:color="auto"/>
              <w:right w:val="single" w:sz="4" w:space="0" w:color="auto"/>
            </w:tcBorders>
            <w:shd w:val="clear" w:color="auto" w:fill="FFFFFF"/>
            <w:vAlign w:val="center"/>
          </w:tcPr>
          <w:p w14:paraId="2B12BCA0" w14:textId="5CC53B9C" w:rsidR="00A04973" w:rsidRPr="00A04973" w:rsidRDefault="00A04973" w:rsidP="00D34CF5">
            <w:pPr>
              <w:pStyle w:val="Khc0"/>
              <w:spacing w:after="0" w:line="264" w:lineRule="auto"/>
              <w:ind w:left="180" w:firstLine="20"/>
              <w:rPr>
                <w:rFonts w:ascii="Arial" w:hAnsi="Arial" w:cs="Arial"/>
                <w:color w:val="auto"/>
                <w:sz w:val="20"/>
                <w:szCs w:val="20"/>
              </w:rPr>
            </w:pPr>
            <w:r w:rsidRPr="00A04973">
              <w:rPr>
                <w:rFonts w:ascii="Arial" w:hAnsi="Arial" w:cs="Arial"/>
                <w:b/>
                <w:bCs/>
                <w:color w:val="auto"/>
                <w:sz w:val="20"/>
                <w:szCs w:val="20"/>
              </w:rPr>
              <w:t>Plan for 2024</w:t>
            </w:r>
          </w:p>
        </w:tc>
      </w:tr>
      <w:tr w:rsidR="00A04973" w:rsidRPr="00A04973" w14:paraId="5E1A0701" w14:textId="77777777" w:rsidTr="00551EFC">
        <w:tblPrEx>
          <w:tblCellMar>
            <w:top w:w="0" w:type="dxa"/>
            <w:bottom w:w="0" w:type="dxa"/>
          </w:tblCellMar>
        </w:tblPrEx>
        <w:trPr>
          <w:trHeight w:hRule="exact" w:val="307"/>
          <w:jc w:val="center"/>
        </w:trPr>
        <w:tc>
          <w:tcPr>
            <w:tcW w:w="3744" w:type="dxa"/>
            <w:tcBorders>
              <w:top w:val="single" w:sz="4" w:space="0" w:color="auto"/>
              <w:left w:val="single" w:sz="4" w:space="0" w:color="auto"/>
            </w:tcBorders>
            <w:shd w:val="clear" w:color="auto" w:fill="FFFFFF"/>
            <w:vAlign w:val="bottom"/>
          </w:tcPr>
          <w:p w14:paraId="56C576AA" w14:textId="77766B5A" w:rsidR="00A04973" w:rsidRPr="00A04973" w:rsidRDefault="00A04973" w:rsidP="00A04973">
            <w:pPr>
              <w:pStyle w:val="Khc0"/>
              <w:spacing w:after="0" w:line="240" w:lineRule="auto"/>
              <w:ind w:firstLine="0"/>
              <w:rPr>
                <w:rFonts w:ascii="Arial" w:hAnsi="Arial" w:cs="Arial"/>
                <w:color w:val="auto"/>
                <w:sz w:val="20"/>
                <w:szCs w:val="20"/>
              </w:rPr>
            </w:pPr>
            <w:r w:rsidRPr="00A04973">
              <w:rPr>
                <w:rFonts w:ascii="Arial" w:hAnsi="Arial" w:cs="Arial"/>
                <w:color w:val="auto"/>
                <w:sz w:val="20"/>
                <w:szCs w:val="20"/>
              </w:rPr>
              <w:t>Total consolidated revenue</w:t>
            </w:r>
          </w:p>
        </w:tc>
        <w:tc>
          <w:tcPr>
            <w:tcW w:w="662" w:type="dxa"/>
            <w:tcBorders>
              <w:top w:val="single" w:sz="4" w:space="0" w:color="auto"/>
            </w:tcBorders>
            <w:shd w:val="clear" w:color="auto" w:fill="FFFFFF"/>
          </w:tcPr>
          <w:p w14:paraId="70663664" w14:textId="77777777" w:rsidR="00A04973" w:rsidRPr="00A04973" w:rsidRDefault="00A04973" w:rsidP="00A04973">
            <w:pPr>
              <w:rPr>
                <w:rFonts w:ascii="Arial" w:hAnsi="Arial" w:cs="Arial"/>
                <w:color w:val="auto"/>
                <w:sz w:val="20"/>
                <w:szCs w:val="20"/>
              </w:rPr>
            </w:pPr>
          </w:p>
        </w:tc>
        <w:tc>
          <w:tcPr>
            <w:tcW w:w="1430" w:type="dxa"/>
            <w:tcBorders>
              <w:top w:val="single" w:sz="4" w:space="0" w:color="auto"/>
              <w:left w:val="single" w:sz="4" w:space="0" w:color="auto"/>
            </w:tcBorders>
            <w:shd w:val="clear" w:color="auto" w:fill="FFFFFF"/>
          </w:tcPr>
          <w:p w14:paraId="1C4183FB" w14:textId="5DE274C6" w:rsidR="00A04973" w:rsidRPr="00A04973" w:rsidRDefault="00A04973" w:rsidP="00A04973">
            <w:pPr>
              <w:pStyle w:val="Khc0"/>
              <w:spacing w:after="0" w:line="240" w:lineRule="auto"/>
              <w:ind w:firstLine="180"/>
              <w:rPr>
                <w:rFonts w:ascii="Arial" w:hAnsi="Arial" w:cs="Arial"/>
                <w:color w:val="auto"/>
                <w:sz w:val="20"/>
                <w:szCs w:val="20"/>
              </w:rPr>
            </w:pPr>
            <w:r w:rsidRPr="00174AE2">
              <w:t>8,400,000</w:t>
            </w:r>
          </w:p>
        </w:tc>
        <w:tc>
          <w:tcPr>
            <w:tcW w:w="1622" w:type="dxa"/>
            <w:tcBorders>
              <w:top w:val="single" w:sz="4" w:space="0" w:color="auto"/>
              <w:left w:val="single" w:sz="4" w:space="0" w:color="auto"/>
            </w:tcBorders>
            <w:shd w:val="clear" w:color="auto" w:fill="FFFFFF"/>
            <w:vAlign w:val="bottom"/>
          </w:tcPr>
          <w:p w14:paraId="1870EC28" w14:textId="13C614C9" w:rsidR="00A04973" w:rsidRPr="00A04973" w:rsidRDefault="00A04973" w:rsidP="00A04973">
            <w:pPr>
              <w:pStyle w:val="Khc0"/>
              <w:spacing w:after="0" w:line="240" w:lineRule="auto"/>
              <w:ind w:firstLine="0"/>
              <w:jc w:val="center"/>
              <w:rPr>
                <w:rFonts w:ascii="Arial" w:hAnsi="Arial" w:cs="Arial"/>
                <w:color w:val="auto"/>
                <w:sz w:val="20"/>
                <w:szCs w:val="20"/>
              </w:rPr>
            </w:pPr>
            <w:r w:rsidRPr="00A04973">
              <w:rPr>
                <w:rFonts w:ascii="Arial" w:hAnsi="Arial" w:cs="Arial"/>
                <w:color w:val="auto"/>
                <w:sz w:val="20"/>
                <w:szCs w:val="20"/>
              </w:rPr>
              <w:t>10,200,000</w:t>
            </w:r>
          </w:p>
        </w:tc>
        <w:tc>
          <w:tcPr>
            <w:tcW w:w="1459" w:type="dxa"/>
            <w:tcBorders>
              <w:top w:val="single" w:sz="4" w:space="0" w:color="auto"/>
              <w:left w:val="single" w:sz="4" w:space="0" w:color="auto"/>
              <w:right w:val="single" w:sz="4" w:space="0" w:color="auto"/>
            </w:tcBorders>
            <w:shd w:val="clear" w:color="auto" w:fill="FFFFFF"/>
          </w:tcPr>
          <w:p w14:paraId="3F20884F" w14:textId="2297917D" w:rsidR="00A04973" w:rsidRPr="00A04973" w:rsidRDefault="00A04973" w:rsidP="00A04973">
            <w:pPr>
              <w:pStyle w:val="Khc0"/>
              <w:spacing w:after="0" w:line="240" w:lineRule="auto"/>
              <w:ind w:firstLine="180"/>
              <w:rPr>
                <w:rFonts w:ascii="Arial" w:hAnsi="Arial" w:cs="Arial"/>
                <w:color w:val="auto"/>
                <w:sz w:val="20"/>
                <w:szCs w:val="20"/>
              </w:rPr>
            </w:pPr>
            <w:r w:rsidRPr="0008416F">
              <w:t>9,000,000</w:t>
            </w:r>
          </w:p>
        </w:tc>
      </w:tr>
      <w:tr w:rsidR="00A04973" w:rsidRPr="00A04973" w14:paraId="2FDCDCA8" w14:textId="77777777" w:rsidTr="00C819D1">
        <w:tblPrEx>
          <w:tblCellMar>
            <w:top w:w="0" w:type="dxa"/>
            <w:bottom w:w="0" w:type="dxa"/>
          </w:tblCellMar>
        </w:tblPrEx>
        <w:trPr>
          <w:trHeight w:hRule="exact" w:val="307"/>
          <w:jc w:val="center"/>
        </w:trPr>
        <w:tc>
          <w:tcPr>
            <w:tcW w:w="4406" w:type="dxa"/>
            <w:gridSpan w:val="2"/>
            <w:tcBorders>
              <w:top w:val="single" w:sz="4" w:space="0" w:color="auto"/>
              <w:left w:val="single" w:sz="4" w:space="0" w:color="auto"/>
            </w:tcBorders>
            <w:shd w:val="clear" w:color="auto" w:fill="FFFFFF"/>
            <w:vAlign w:val="bottom"/>
          </w:tcPr>
          <w:p w14:paraId="278B9612" w14:textId="2DBD03AB" w:rsidR="00A04973" w:rsidRPr="00A04973" w:rsidRDefault="00A04973" w:rsidP="00A04973">
            <w:pPr>
              <w:pStyle w:val="Khc0"/>
              <w:spacing w:after="0" w:line="240" w:lineRule="auto"/>
              <w:ind w:firstLine="0"/>
              <w:rPr>
                <w:rFonts w:ascii="Arial" w:hAnsi="Arial" w:cs="Arial"/>
                <w:color w:val="auto"/>
                <w:sz w:val="20"/>
                <w:szCs w:val="20"/>
              </w:rPr>
            </w:pPr>
            <w:r w:rsidRPr="00A04973">
              <w:rPr>
                <w:rFonts w:ascii="Arial" w:hAnsi="Arial" w:cs="Arial"/>
                <w:color w:val="auto"/>
                <w:sz w:val="20"/>
                <w:szCs w:val="20"/>
              </w:rPr>
              <w:t>Consolidated profit before corporate income tax</w:t>
            </w:r>
          </w:p>
        </w:tc>
        <w:tc>
          <w:tcPr>
            <w:tcW w:w="1430" w:type="dxa"/>
            <w:tcBorders>
              <w:top w:val="single" w:sz="4" w:space="0" w:color="auto"/>
              <w:left w:val="single" w:sz="4" w:space="0" w:color="auto"/>
            </w:tcBorders>
            <w:shd w:val="clear" w:color="auto" w:fill="FFFFFF"/>
            <w:vAlign w:val="bottom"/>
          </w:tcPr>
          <w:p w14:paraId="3108E8D0" w14:textId="5A547EBC" w:rsidR="00A04973" w:rsidRPr="00A04973" w:rsidRDefault="00A04973" w:rsidP="00A04973">
            <w:pPr>
              <w:pStyle w:val="Khc0"/>
              <w:spacing w:after="0" w:line="240" w:lineRule="auto"/>
              <w:ind w:firstLine="180"/>
              <w:rPr>
                <w:rFonts w:ascii="Arial" w:hAnsi="Arial" w:cs="Arial"/>
                <w:color w:val="auto"/>
                <w:sz w:val="20"/>
                <w:szCs w:val="20"/>
              </w:rPr>
            </w:pPr>
            <w:r>
              <w:rPr>
                <w:rFonts w:ascii="Arial" w:hAnsi="Arial" w:cs="Arial"/>
                <w:color w:val="auto"/>
                <w:sz w:val="20"/>
                <w:szCs w:val="20"/>
              </w:rPr>
              <w:t>1,200,</w:t>
            </w:r>
            <w:r w:rsidRPr="00A04973">
              <w:rPr>
                <w:rFonts w:ascii="Arial" w:hAnsi="Arial" w:cs="Arial"/>
                <w:color w:val="auto"/>
                <w:sz w:val="20"/>
                <w:szCs w:val="20"/>
              </w:rPr>
              <w:t>000</w:t>
            </w:r>
          </w:p>
        </w:tc>
        <w:tc>
          <w:tcPr>
            <w:tcW w:w="1622" w:type="dxa"/>
            <w:tcBorders>
              <w:top w:val="single" w:sz="4" w:space="0" w:color="auto"/>
              <w:left w:val="single" w:sz="4" w:space="0" w:color="auto"/>
            </w:tcBorders>
            <w:shd w:val="clear" w:color="auto" w:fill="FFFFFF"/>
          </w:tcPr>
          <w:p w14:paraId="3DD836D9" w14:textId="3F32B50E" w:rsidR="00A04973" w:rsidRPr="00A04973" w:rsidRDefault="00A04973" w:rsidP="00A04973">
            <w:pPr>
              <w:pStyle w:val="Khc0"/>
              <w:spacing w:after="0" w:line="240" w:lineRule="auto"/>
              <w:ind w:firstLine="0"/>
              <w:jc w:val="center"/>
              <w:rPr>
                <w:rFonts w:ascii="Arial" w:hAnsi="Arial" w:cs="Arial"/>
                <w:color w:val="auto"/>
                <w:sz w:val="20"/>
                <w:szCs w:val="20"/>
              </w:rPr>
            </w:pPr>
            <w:r w:rsidRPr="00174AE2">
              <w:t>1,200,000</w:t>
            </w:r>
          </w:p>
        </w:tc>
        <w:tc>
          <w:tcPr>
            <w:tcW w:w="1459" w:type="dxa"/>
            <w:tcBorders>
              <w:top w:val="single" w:sz="4" w:space="0" w:color="auto"/>
              <w:left w:val="single" w:sz="4" w:space="0" w:color="auto"/>
              <w:right w:val="single" w:sz="4" w:space="0" w:color="auto"/>
            </w:tcBorders>
            <w:shd w:val="clear" w:color="auto" w:fill="FFFFFF"/>
            <w:vAlign w:val="bottom"/>
          </w:tcPr>
          <w:p w14:paraId="2ABD0105" w14:textId="77777777" w:rsidR="00A04973" w:rsidRPr="00A04973" w:rsidRDefault="00A04973" w:rsidP="00A04973">
            <w:pPr>
              <w:pStyle w:val="Khc0"/>
              <w:spacing w:after="0" w:line="240" w:lineRule="auto"/>
              <w:ind w:firstLine="180"/>
              <w:rPr>
                <w:rFonts w:ascii="Arial" w:hAnsi="Arial" w:cs="Arial"/>
                <w:color w:val="auto"/>
                <w:sz w:val="20"/>
                <w:szCs w:val="20"/>
              </w:rPr>
            </w:pPr>
            <w:r w:rsidRPr="00A04973">
              <w:rPr>
                <w:rFonts w:ascii="Arial" w:hAnsi="Arial" w:cs="Arial"/>
                <w:color w:val="auto"/>
                <w:sz w:val="20"/>
                <w:szCs w:val="20"/>
              </w:rPr>
              <w:t>1.500.000</w:t>
            </w:r>
          </w:p>
        </w:tc>
      </w:tr>
      <w:tr w:rsidR="00A04973" w:rsidRPr="00A04973" w14:paraId="10F7290F" w14:textId="77777777" w:rsidTr="00551EFC">
        <w:tblPrEx>
          <w:tblCellMar>
            <w:top w:w="0" w:type="dxa"/>
            <w:bottom w:w="0" w:type="dxa"/>
          </w:tblCellMar>
        </w:tblPrEx>
        <w:trPr>
          <w:trHeight w:hRule="exact" w:val="312"/>
          <w:jc w:val="center"/>
        </w:trPr>
        <w:tc>
          <w:tcPr>
            <w:tcW w:w="3744" w:type="dxa"/>
            <w:tcBorders>
              <w:top w:val="single" w:sz="4" w:space="0" w:color="auto"/>
              <w:left w:val="single" w:sz="4" w:space="0" w:color="auto"/>
            </w:tcBorders>
            <w:shd w:val="clear" w:color="auto" w:fill="FFFFFF"/>
            <w:vAlign w:val="bottom"/>
          </w:tcPr>
          <w:p w14:paraId="4709E994" w14:textId="3F1C7850" w:rsidR="00A04973" w:rsidRPr="00A04973" w:rsidRDefault="00A04973" w:rsidP="00A04973">
            <w:pPr>
              <w:pStyle w:val="Khc0"/>
              <w:spacing w:after="0" w:line="240" w:lineRule="auto"/>
              <w:ind w:firstLine="0"/>
              <w:rPr>
                <w:rFonts w:ascii="Arial" w:hAnsi="Arial" w:cs="Arial"/>
                <w:color w:val="auto"/>
                <w:sz w:val="20"/>
                <w:szCs w:val="20"/>
              </w:rPr>
            </w:pPr>
            <w:r w:rsidRPr="00A04973">
              <w:rPr>
                <w:rFonts w:ascii="Arial" w:hAnsi="Arial" w:cs="Arial"/>
                <w:color w:val="auto"/>
                <w:sz w:val="20"/>
                <w:szCs w:val="20"/>
              </w:rPr>
              <w:t>Consolidated profit after tax</w:t>
            </w:r>
          </w:p>
        </w:tc>
        <w:tc>
          <w:tcPr>
            <w:tcW w:w="662" w:type="dxa"/>
            <w:tcBorders>
              <w:top w:val="single" w:sz="4" w:space="0" w:color="auto"/>
            </w:tcBorders>
            <w:shd w:val="clear" w:color="auto" w:fill="FFFFFF"/>
            <w:vAlign w:val="bottom"/>
          </w:tcPr>
          <w:p w14:paraId="6252B6B8" w14:textId="77777777" w:rsidR="00A04973" w:rsidRPr="00A04973" w:rsidRDefault="00A04973" w:rsidP="00A04973">
            <w:pPr>
              <w:pStyle w:val="Khc0"/>
              <w:spacing w:after="0" w:line="240" w:lineRule="auto"/>
              <w:ind w:firstLine="0"/>
              <w:rPr>
                <w:rFonts w:ascii="Arial" w:hAnsi="Arial" w:cs="Arial"/>
                <w:color w:val="auto"/>
                <w:sz w:val="20"/>
                <w:szCs w:val="20"/>
              </w:rPr>
            </w:pPr>
          </w:p>
        </w:tc>
        <w:tc>
          <w:tcPr>
            <w:tcW w:w="1430" w:type="dxa"/>
            <w:tcBorders>
              <w:top w:val="single" w:sz="4" w:space="0" w:color="auto"/>
              <w:left w:val="single" w:sz="4" w:space="0" w:color="auto"/>
            </w:tcBorders>
            <w:shd w:val="clear" w:color="auto" w:fill="FFFFFF"/>
          </w:tcPr>
          <w:p w14:paraId="1A389686" w14:textId="3DC261E3" w:rsidR="00A04973" w:rsidRPr="00A04973" w:rsidRDefault="00A04973" w:rsidP="00A04973">
            <w:pPr>
              <w:pStyle w:val="Khc0"/>
              <w:spacing w:after="0" w:line="240" w:lineRule="auto"/>
              <w:ind w:firstLine="180"/>
              <w:rPr>
                <w:rFonts w:ascii="Arial" w:hAnsi="Arial" w:cs="Arial"/>
                <w:color w:val="auto"/>
                <w:sz w:val="20"/>
                <w:szCs w:val="20"/>
              </w:rPr>
            </w:pPr>
            <w:r w:rsidRPr="00174AE2">
              <w:t>1,008,000</w:t>
            </w:r>
          </w:p>
        </w:tc>
        <w:tc>
          <w:tcPr>
            <w:tcW w:w="1622" w:type="dxa"/>
            <w:tcBorders>
              <w:top w:val="single" w:sz="4" w:space="0" w:color="auto"/>
              <w:left w:val="single" w:sz="4" w:space="0" w:color="auto"/>
            </w:tcBorders>
            <w:shd w:val="clear" w:color="auto" w:fill="FFFFFF"/>
          </w:tcPr>
          <w:p w14:paraId="07F358D1" w14:textId="3EE98FD6" w:rsidR="00A04973" w:rsidRPr="00A04973" w:rsidRDefault="00A04973" w:rsidP="00A04973">
            <w:pPr>
              <w:pStyle w:val="Khc0"/>
              <w:spacing w:after="0" w:line="240" w:lineRule="auto"/>
              <w:ind w:firstLine="0"/>
              <w:jc w:val="center"/>
              <w:rPr>
                <w:rFonts w:ascii="Arial" w:hAnsi="Arial" w:cs="Arial"/>
                <w:color w:val="auto"/>
                <w:sz w:val="20"/>
                <w:szCs w:val="20"/>
              </w:rPr>
            </w:pPr>
            <w:r w:rsidRPr="00A30F6C">
              <w:t>2,145,600</w:t>
            </w:r>
          </w:p>
        </w:tc>
        <w:tc>
          <w:tcPr>
            <w:tcW w:w="1459" w:type="dxa"/>
            <w:tcBorders>
              <w:top w:val="single" w:sz="4" w:space="0" w:color="auto"/>
              <w:left w:val="single" w:sz="4" w:space="0" w:color="auto"/>
              <w:right w:val="single" w:sz="4" w:space="0" w:color="auto"/>
            </w:tcBorders>
            <w:shd w:val="clear" w:color="auto" w:fill="FFFFFF"/>
          </w:tcPr>
          <w:p w14:paraId="1DA2FE01" w14:textId="612C0068" w:rsidR="00A04973" w:rsidRPr="00A04973" w:rsidRDefault="00A04973" w:rsidP="00A04973">
            <w:pPr>
              <w:pStyle w:val="Khc0"/>
              <w:spacing w:after="0" w:line="240" w:lineRule="auto"/>
              <w:ind w:firstLine="180"/>
              <w:rPr>
                <w:rFonts w:ascii="Arial" w:hAnsi="Arial" w:cs="Arial"/>
                <w:color w:val="auto"/>
                <w:sz w:val="20"/>
                <w:szCs w:val="20"/>
              </w:rPr>
            </w:pPr>
            <w:r w:rsidRPr="0008416F">
              <w:t>1,341,000</w:t>
            </w:r>
          </w:p>
        </w:tc>
      </w:tr>
      <w:tr w:rsidR="00A04973" w:rsidRPr="00A04973" w14:paraId="1F7F273E" w14:textId="77777777" w:rsidTr="00D34CF5">
        <w:tblPrEx>
          <w:tblCellMar>
            <w:top w:w="0" w:type="dxa"/>
            <w:bottom w:w="0" w:type="dxa"/>
          </w:tblCellMar>
        </w:tblPrEx>
        <w:trPr>
          <w:trHeight w:hRule="exact" w:val="322"/>
          <w:jc w:val="center"/>
        </w:trPr>
        <w:tc>
          <w:tcPr>
            <w:tcW w:w="3744" w:type="dxa"/>
            <w:tcBorders>
              <w:top w:val="single" w:sz="4" w:space="0" w:color="auto"/>
              <w:left w:val="single" w:sz="4" w:space="0" w:color="auto"/>
              <w:bottom w:val="single" w:sz="4" w:space="0" w:color="auto"/>
            </w:tcBorders>
            <w:shd w:val="clear" w:color="auto" w:fill="FFFFFF"/>
          </w:tcPr>
          <w:p w14:paraId="74EEDCDE" w14:textId="0D855397" w:rsidR="00A04973" w:rsidRPr="00A04973" w:rsidRDefault="00A04973" w:rsidP="00A04973">
            <w:pPr>
              <w:pStyle w:val="Khc0"/>
              <w:spacing w:after="0" w:line="240" w:lineRule="auto"/>
              <w:ind w:firstLine="0"/>
              <w:rPr>
                <w:rFonts w:ascii="Arial" w:hAnsi="Arial" w:cs="Arial"/>
                <w:color w:val="auto"/>
                <w:sz w:val="20"/>
                <w:szCs w:val="20"/>
              </w:rPr>
            </w:pPr>
            <w:r w:rsidRPr="00A04973">
              <w:rPr>
                <w:rFonts w:ascii="Arial" w:hAnsi="Arial" w:cs="Arial"/>
                <w:color w:val="auto"/>
                <w:sz w:val="20"/>
                <w:szCs w:val="20"/>
              </w:rPr>
              <w:t>Capital depreciation</w:t>
            </w:r>
          </w:p>
        </w:tc>
        <w:tc>
          <w:tcPr>
            <w:tcW w:w="662" w:type="dxa"/>
            <w:tcBorders>
              <w:top w:val="single" w:sz="4" w:space="0" w:color="auto"/>
              <w:bottom w:val="single" w:sz="4" w:space="0" w:color="auto"/>
            </w:tcBorders>
            <w:shd w:val="clear" w:color="auto" w:fill="FFFFFF"/>
          </w:tcPr>
          <w:p w14:paraId="0A9C283D" w14:textId="77777777" w:rsidR="00A04973" w:rsidRPr="00A04973" w:rsidRDefault="00A04973" w:rsidP="00A04973">
            <w:pPr>
              <w:rPr>
                <w:rFonts w:ascii="Arial" w:hAnsi="Arial" w:cs="Arial"/>
                <w:color w:val="auto"/>
                <w:sz w:val="20"/>
                <w:szCs w:val="20"/>
              </w:rPr>
            </w:pPr>
          </w:p>
        </w:tc>
        <w:tc>
          <w:tcPr>
            <w:tcW w:w="1430" w:type="dxa"/>
            <w:tcBorders>
              <w:top w:val="single" w:sz="4" w:space="0" w:color="auto"/>
              <w:left w:val="single" w:sz="4" w:space="0" w:color="auto"/>
              <w:bottom w:val="single" w:sz="4" w:space="0" w:color="auto"/>
            </w:tcBorders>
            <w:shd w:val="clear" w:color="auto" w:fill="FFFFFF"/>
          </w:tcPr>
          <w:p w14:paraId="23C05BBE" w14:textId="4D42FD09" w:rsidR="00A04973" w:rsidRPr="00A04973" w:rsidRDefault="00A04973" w:rsidP="00A04973">
            <w:pPr>
              <w:pStyle w:val="Khc0"/>
              <w:spacing w:after="0" w:line="240" w:lineRule="auto"/>
              <w:ind w:firstLine="0"/>
              <w:jc w:val="center"/>
              <w:rPr>
                <w:rFonts w:ascii="Arial" w:hAnsi="Arial" w:cs="Arial"/>
                <w:color w:val="auto"/>
                <w:sz w:val="20"/>
                <w:szCs w:val="20"/>
              </w:rPr>
            </w:pPr>
            <w:r w:rsidRPr="00174AE2">
              <w:t>443,000</w:t>
            </w:r>
          </w:p>
        </w:tc>
        <w:tc>
          <w:tcPr>
            <w:tcW w:w="1622" w:type="dxa"/>
            <w:tcBorders>
              <w:top w:val="single" w:sz="4" w:space="0" w:color="auto"/>
              <w:left w:val="single" w:sz="4" w:space="0" w:color="auto"/>
              <w:bottom w:val="single" w:sz="4" w:space="0" w:color="auto"/>
            </w:tcBorders>
            <w:shd w:val="clear" w:color="auto" w:fill="FFFFFF"/>
          </w:tcPr>
          <w:p w14:paraId="258C489D" w14:textId="29481771" w:rsidR="00A04973" w:rsidRPr="00A04973" w:rsidRDefault="00A04973" w:rsidP="00A04973">
            <w:pPr>
              <w:pStyle w:val="Khc0"/>
              <w:spacing w:after="0" w:line="240" w:lineRule="auto"/>
              <w:ind w:firstLine="0"/>
              <w:jc w:val="center"/>
              <w:rPr>
                <w:rFonts w:ascii="Arial" w:hAnsi="Arial" w:cs="Arial"/>
                <w:color w:val="auto"/>
                <w:sz w:val="20"/>
                <w:szCs w:val="20"/>
              </w:rPr>
            </w:pPr>
            <w:r w:rsidRPr="00A30F6C">
              <w:t>439,700</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11CA788B" w14:textId="7742189E" w:rsidR="00A04973" w:rsidRPr="00A04973" w:rsidRDefault="00A04973" w:rsidP="00A04973">
            <w:pPr>
              <w:pStyle w:val="Khc0"/>
              <w:spacing w:after="0" w:line="240" w:lineRule="auto"/>
              <w:ind w:firstLine="0"/>
              <w:jc w:val="center"/>
              <w:rPr>
                <w:rFonts w:ascii="Arial" w:hAnsi="Arial" w:cs="Arial"/>
                <w:color w:val="auto"/>
                <w:sz w:val="20"/>
                <w:szCs w:val="20"/>
              </w:rPr>
            </w:pPr>
            <w:r w:rsidRPr="0008416F">
              <w:t>445,900</w:t>
            </w:r>
          </w:p>
        </w:tc>
      </w:tr>
    </w:tbl>
    <w:p w14:paraId="128EDB8F" w14:textId="77777777" w:rsidR="00A04973" w:rsidRPr="00A04973" w:rsidRDefault="00A04973" w:rsidP="00A04973">
      <w:pPr>
        <w:pStyle w:val="BodyText"/>
        <w:spacing w:after="120" w:line="360" w:lineRule="auto"/>
        <w:ind w:firstLine="0"/>
        <w:rPr>
          <w:rFonts w:ascii="Arial" w:hAnsi="Arial" w:cs="Arial"/>
          <w:color w:val="010000"/>
          <w:sz w:val="20"/>
          <w:szCs w:val="20"/>
        </w:rPr>
      </w:pPr>
    </w:p>
    <w:p w14:paraId="0D89A8A3" w14:textId="725F737C" w:rsidR="00A04973" w:rsidRPr="00A04973" w:rsidRDefault="00A04973" w:rsidP="00A04973">
      <w:pPr>
        <w:pStyle w:val="BodyText"/>
        <w:spacing w:after="120" w:line="360" w:lineRule="auto"/>
        <w:rPr>
          <w:rFonts w:ascii="Arial" w:hAnsi="Arial" w:cs="Arial"/>
          <w:color w:val="010000"/>
          <w:sz w:val="20"/>
          <w:szCs w:val="20"/>
        </w:rPr>
      </w:pPr>
      <w:r w:rsidRPr="00A04973">
        <w:rPr>
          <w:rFonts w:ascii="Arial" w:hAnsi="Arial" w:cs="Arial"/>
          <w:color w:val="010000"/>
          <w:sz w:val="20"/>
          <w:szCs w:val="20"/>
        </w:rPr>
        <w:t>2. Dividend payment</w:t>
      </w:r>
      <w:r>
        <w:rPr>
          <w:rFonts w:ascii="Arial" w:hAnsi="Arial" w:cs="Arial"/>
          <w:color w:val="010000"/>
          <w:sz w:val="20"/>
          <w:szCs w:val="20"/>
        </w:rPr>
        <w:t xml:space="preserve"> in advance</w:t>
      </w:r>
      <w:r w:rsidRPr="00A04973">
        <w:rPr>
          <w:rFonts w:ascii="Arial" w:hAnsi="Arial" w:cs="Arial"/>
          <w:color w:val="010000"/>
          <w:sz w:val="20"/>
          <w:szCs w:val="20"/>
        </w:rPr>
        <w:t xml:space="preserve"> for the second </w:t>
      </w:r>
      <w:r>
        <w:rPr>
          <w:rFonts w:ascii="Arial" w:hAnsi="Arial" w:cs="Arial"/>
          <w:color w:val="010000"/>
          <w:sz w:val="20"/>
          <w:szCs w:val="20"/>
        </w:rPr>
        <w:t>phase</w:t>
      </w:r>
      <w:r w:rsidRPr="00A04973">
        <w:rPr>
          <w:rFonts w:ascii="Arial" w:hAnsi="Arial" w:cs="Arial"/>
          <w:color w:val="010000"/>
          <w:sz w:val="20"/>
          <w:szCs w:val="20"/>
        </w:rPr>
        <w:t xml:space="preserve"> of 2023</w:t>
      </w:r>
    </w:p>
    <w:p w14:paraId="751724B7" w14:textId="72B1D45D" w:rsidR="00A04973" w:rsidRPr="00A04973" w:rsidRDefault="00A04973" w:rsidP="00A04973">
      <w:pPr>
        <w:pStyle w:val="BodyText"/>
        <w:spacing w:after="120" w:line="360" w:lineRule="auto"/>
        <w:rPr>
          <w:rFonts w:ascii="Arial" w:hAnsi="Arial" w:cs="Arial"/>
          <w:color w:val="010000"/>
          <w:sz w:val="20"/>
          <w:szCs w:val="20"/>
        </w:rPr>
      </w:pPr>
      <w:r w:rsidRPr="00A04973">
        <w:rPr>
          <w:rFonts w:ascii="Arial" w:hAnsi="Arial" w:cs="Arial"/>
          <w:color w:val="010000"/>
          <w:sz w:val="20"/>
          <w:szCs w:val="20"/>
        </w:rPr>
        <w:t xml:space="preserve">- </w:t>
      </w:r>
      <w:r>
        <w:rPr>
          <w:rFonts w:ascii="Arial" w:hAnsi="Arial" w:cs="Arial"/>
          <w:color w:val="010000"/>
          <w:sz w:val="20"/>
          <w:szCs w:val="20"/>
        </w:rPr>
        <w:t>R</w:t>
      </w:r>
      <w:r w:rsidRPr="00A04973">
        <w:rPr>
          <w:rFonts w:ascii="Arial" w:hAnsi="Arial" w:cs="Arial"/>
          <w:color w:val="010000"/>
          <w:sz w:val="20"/>
          <w:szCs w:val="20"/>
        </w:rPr>
        <w:t xml:space="preserve">ate is: 10%, equivalent to </w:t>
      </w:r>
      <w:r>
        <w:rPr>
          <w:rFonts w:ascii="Arial" w:hAnsi="Arial" w:cs="Arial"/>
          <w:color w:val="010000"/>
          <w:sz w:val="20"/>
          <w:szCs w:val="20"/>
        </w:rPr>
        <w:t xml:space="preserve">VND </w:t>
      </w:r>
      <w:r w:rsidRPr="00A04973">
        <w:rPr>
          <w:rFonts w:ascii="Arial" w:hAnsi="Arial" w:cs="Arial"/>
          <w:color w:val="010000"/>
          <w:sz w:val="20"/>
          <w:szCs w:val="20"/>
        </w:rPr>
        <w:t>1,000/ 01 share.</w:t>
      </w:r>
    </w:p>
    <w:tbl>
      <w:tblPr>
        <w:tblOverlap w:val="neve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44"/>
        <w:gridCol w:w="2391"/>
        <w:gridCol w:w="2026"/>
        <w:gridCol w:w="2088"/>
      </w:tblGrid>
      <w:tr w:rsidR="00A04973" w:rsidRPr="00A04973" w14:paraId="6FD888B5" w14:textId="77777777" w:rsidTr="00795668">
        <w:tblPrEx>
          <w:tblCellMar>
            <w:top w:w="0" w:type="dxa"/>
            <w:bottom w:w="0" w:type="dxa"/>
          </w:tblCellMar>
        </w:tblPrEx>
        <w:trPr>
          <w:trHeight w:hRule="exact" w:val="892"/>
          <w:jc w:val="center"/>
        </w:trPr>
        <w:tc>
          <w:tcPr>
            <w:tcW w:w="3144" w:type="dxa"/>
            <w:shd w:val="clear" w:color="auto" w:fill="FFFFFF"/>
            <w:vAlign w:val="center"/>
          </w:tcPr>
          <w:p w14:paraId="0C0860AD" w14:textId="17AD70F5" w:rsidR="00A04973" w:rsidRPr="00A04973" w:rsidRDefault="00A04973" w:rsidP="00A04973">
            <w:pPr>
              <w:pStyle w:val="Khc0"/>
              <w:spacing w:after="0" w:line="240" w:lineRule="auto"/>
              <w:ind w:firstLine="0"/>
              <w:jc w:val="center"/>
              <w:rPr>
                <w:rFonts w:ascii="Arial" w:hAnsi="Arial" w:cs="Arial"/>
                <w:color w:val="auto"/>
                <w:sz w:val="20"/>
                <w:szCs w:val="20"/>
              </w:rPr>
            </w:pPr>
            <w:r w:rsidRPr="00A04973">
              <w:rPr>
                <w:rFonts w:ascii="Arial" w:hAnsi="Arial" w:cs="Arial"/>
                <w:b/>
                <w:bCs/>
                <w:color w:val="auto"/>
                <w:sz w:val="20"/>
                <w:szCs w:val="20"/>
              </w:rPr>
              <w:t>Targets</w:t>
            </w:r>
          </w:p>
        </w:tc>
        <w:tc>
          <w:tcPr>
            <w:tcW w:w="2391" w:type="dxa"/>
            <w:shd w:val="clear" w:color="auto" w:fill="FFFFFF"/>
            <w:vAlign w:val="center"/>
          </w:tcPr>
          <w:p w14:paraId="77CF6E12" w14:textId="09B8D117" w:rsidR="00A04973" w:rsidRPr="00A04973" w:rsidRDefault="00A04973" w:rsidP="00A04973">
            <w:pPr>
              <w:pStyle w:val="Khc0"/>
              <w:spacing w:after="0" w:line="240" w:lineRule="auto"/>
              <w:ind w:firstLine="0"/>
              <w:jc w:val="center"/>
              <w:rPr>
                <w:rFonts w:ascii="Arial" w:hAnsi="Arial" w:cs="Arial"/>
                <w:color w:val="auto"/>
                <w:sz w:val="20"/>
                <w:szCs w:val="20"/>
              </w:rPr>
            </w:pPr>
            <w:r w:rsidRPr="00A04973">
              <w:rPr>
                <w:rFonts w:ascii="Arial" w:hAnsi="Arial" w:cs="Arial"/>
                <w:b/>
                <w:bCs/>
                <w:color w:val="auto"/>
                <w:sz w:val="20"/>
                <w:szCs w:val="20"/>
              </w:rPr>
              <w:t>Plan for 2023</w:t>
            </w:r>
          </w:p>
        </w:tc>
        <w:tc>
          <w:tcPr>
            <w:tcW w:w="2026" w:type="dxa"/>
            <w:shd w:val="clear" w:color="auto" w:fill="FFFFFF"/>
            <w:vAlign w:val="center"/>
          </w:tcPr>
          <w:p w14:paraId="1663D060" w14:textId="482C978E" w:rsidR="00A04973" w:rsidRPr="00A04973" w:rsidRDefault="00A04973" w:rsidP="00A04973">
            <w:pPr>
              <w:pStyle w:val="Khc0"/>
              <w:spacing w:after="0" w:line="240" w:lineRule="auto"/>
              <w:ind w:firstLine="0"/>
              <w:jc w:val="center"/>
              <w:rPr>
                <w:rFonts w:ascii="Arial" w:hAnsi="Arial" w:cs="Arial"/>
                <w:color w:val="auto"/>
                <w:sz w:val="20"/>
                <w:szCs w:val="20"/>
              </w:rPr>
            </w:pPr>
            <w:r>
              <w:rPr>
                <w:rFonts w:ascii="Arial" w:hAnsi="Arial" w:cs="Arial"/>
                <w:b/>
                <w:bCs/>
                <w:color w:val="auto"/>
                <w:sz w:val="20"/>
                <w:szCs w:val="20"/>
              </w:rPr>
              <w:t>Divid</w:t>
            </w:r>
            <w:r>
              <w:rPr>
                <w:rFonts w:ascii="Arial" w:hAnsi="Arial" w:cs="Arial"/>
                <w:b/>
                <w:bCs/>
                <w:color w:val="auto"/>
                <w:sz w:val="20"/>
                <w:szCs w:val="20"/>
              </w:rPr>
              <w:t>end payment in advance (phase 1)</w:t>
            </w:r>
          </w:p>
        </w:tc>
        <w:tc>
          <w:tcPr>
            <w:tcW w:w="2088" w:type="dxa"/>
            <w:shd w:val="clear" w:color="auto" w:fill="FFFFFF"/>
            <w:vAlign w:val="center"/>
          </w:tcPr>
          <w:p w14:paraId="6A232451" w14:textId="4491ED0A" w:rsidR="00A04973" w:rsidRDefault="00A04973" w:rsidP="00A04973">
            <w:pPr>
              <w:pStyle w:val="Khc0"/>
              <w:spacing w:after="0" w:line="240" w:lineRule="auto"/>
              <w:ind w:firstLine="0"/>
              <w:jc w:val="center"/>
              <w:rPr>
                <w:rFonts w:ascii="Arial" w:hAnsi="Arial" w:cs="Arial"/>
                <w:b/>
                <w:bCs/>
                <w:color w:val="auto"/>
                <w:sz w:val="20"/>
                <w:szCs w:val="20"/>
              </w:rPr>
            </w:pPr>
            <w:r>
              <w:rPr>
                <w:rFonts w:ascii="Arial" w:hAnsi="Arial" w:cs="Arial"/>
                <w:b/>
                <w:bCs/>
                <w:color w:val="auto"/>
                <w:sz w:val="20"/>
                <w:szCs w:val="20"/>
              </w:rPr>
              <w:t>Dividend payment in advance (phase 2)</w:t>
            </w:r>
          </w:p>
          <w:p w14:paraId="0E3DB1BE" w14:textId="700AD1E5" w:rsidR="00A04973" w:rsidRPr="00A04973" w:rsidRDefault="00A04973" w:rsidP="00A04973">
            <w:pPr>
              <w:pStyle w:val="Khc0"/>
              <w:spacing w:after="0" w:line="240" w:lineRule="auto"/>
              <w:ind w:firstLine="0"/>
              <w:jc w:val="center"/>
              <w:rPr>
                <w:rFonts w:ascii="Arial" w:hAnsi="Arial" w:cs="Arial"/>
                <w:color w:val="auto"/>
                <w:sz w:val="20"/>
                <w:szCs w:val="20"/>
              </w:rPr>
            </w:pPr>
          </w:p>
        </w:tc>
      </w:tr>
      <w:tr w:rsidR="00A04973" w:rsidRPr="00A04973" w14:paraId="17240241" w14:textId="77777777" w:rsidTr="00A04973">
        <w:tblPrEx>
          <w:tblCellMar>
            <w:top w:w="0" w:type="dxa"/>
            <w:bottom w:w="0" w:type="dxa"/>
          </w:tblCellMar>
        </w:tblPrEx>
        <w:trPr>
          <w:trHeight w:hRule="exact" w:val="892"/>
          <w:jc w:val="center"/>
        </w:trPr>
        <w:tc>
          <w:tcPr>
            <w:tcW w:w="3144" w:type="dxa"/>
            <w:shd w:val="clear" w:color="auto" w:fill="FFFFFF"/>
            <w:vAlign w:val="center"/>
          </w:tcPr>
          <w:p w14:paraId="2A2C8F5F" w14:textId="46DA13F8" w:rsidR="00A04973" w:rsidRPr="00A04973" w:rsidRDefault="00A04973" w:rsidP="00A04973">
            <w:pPr>
              <w:pStyle w:val="Khc0"/>
              <w:spacing w:after="0" w:line="240" w:lineRule="auto"/>
              <w:ind w:firstLine="0"/>
              <w:jc w:val="center"/>
              <w:rPr>
                <w:rFonts w:ascii="Arial" w:hAnsi="Arial" w:cs="Arial"/>
                <w:b/>
                <w:bCs/>
                <w:color w:val="auto"/>
                <w:sz w:val="20"/>
                <w:szCs w:val="20"/>
              </w:rPr>
            </w:pPr>
            <w:r>
              <w:rPr>
                <w:rFonts w:ascii="Arial" w:hAnsi="Arial" w:cs="Arial"/>
                <w:color w:val="auto"/>
                <w:sz w:val="20"/>
                <w:szCs w:val="20"/>
              </w:rPr>
              <w:t>Exercise rate</w:t>
            </w:r>
          </w:p>
        </w:tc>
        <w:tc>
          <w:tcPr>
            <w:tcW w:w="2391" w:type="dxa"/>
            <w:shd w:val="clear" w:color="auto" w:fill="FFFFFF"/>
            <w:vAlign w:val="center"/>
          </w:tcPr>
          <w:p w14:paraId="0A84FB32" w14:textId="373CDECC" w:rsidR="00A04973" w:rsidRPr="00A04973" w:rsidRDefault="00A04973" w:rsidP="00A04973">
            <w:pPr>
              <w:pStyle w:val="Khc0"/>
              <w:spacing w:after="0" w:line="240" w:lineRule="auto"/>
              <w:ind w:firstLine="0"/>
              <w:jc w:val="center"/>
              <w:rPr>
                <w:rFonts w:ascii="Arial" w:hAnsi="Arial" w:cs="Arial"/>
                <w:b/>
                <w:bCs/>
                <w:color w:val="auto"/>
                <w:sz w:val="20"/>
                <w:szCs w:val="20"/>
              </w:rPr>
            </w:pPr>
            <w:r w:rsidRPr="00A04973">
              <w:rPr>
                <w:rFonts w:ascii="Arial" w:hAnsi="Arial" w:cs="Arial"/>
                <w:b/>
                <w:bCs/>
                <w:color w:val="auto"/>
                <w:sz w:val="20"/>
                <w:szCs w:val="20"/>
              </w:rPr>
              <w:t>&gt;</w:t>
            </w:r>
            <w:r>
              <w:rPr>
                <w:rFonts w:ascii="Arial" w:hAnsi="Arial" w:cs="Arial"/>
                <w:color w:val="auto"/>
                <w:sz w:val="20"/>
                <w:szCs w:val="20"/>
              </w:rPr>
              <w:t xml:space="preserve"> </w:t>
            </w:r>
            <w:r w:rsidRPr="00A04973">
              <w:rPr>
                <w:rFonts w:ascii="Arial" w:hAnsi="Arial" w:cs="Arial"/>
                <w:color w:val="auto"/>
                <w:sz w:val="20"/>
                <w:szCs w:val="20"/>
              </w:rPr>
              <w:t>15%</w:t>
            </w:r>
          </w:p>
        </w:tc>
        <w:tc>
          <w:tcPr>
            <w:tcW w:w="2026" w:type="dxa"/>
            <w:shd w:val="clear" w:color="auto" w:fill="FFFFFF"/>
            <w:vAlign w:val="center"/>
          </w:tcPr>
          <w:p w14:paraId="2AA55750" w14:textId="353BF973" w:rsidR="00A04973" w:rsidRDefault="00A04973" w:rsidP="00A04973">
            <w:pPr>
              <w:pStyle w:val="Khc0"/>
              <w:spacing w:after="0" w:line="240" w:lineRule="auto"/>
              <w:ind w:firstLine="0"/>
              <w:jc w:val="center"/>
              <w:rPr>
                <w:rFonts w:ascii="Arial" w:hAnsi="Arial" w:cs="Arial"/>
                <w:b/>
                <w:bCs/>
                <w:color w:val="auto"/>
                <w:sz w:val="20"/>
                <w:szCs w:val="20"/>
              </w:rPr>
            </w:pPr>
            <w:r w:rsidRPr="00A04973">
              <w:rPr>
                <w:rFonts w:ascii="Arial" w:hAnsi="Arial" w:cs="Arial"/>
                <w:b/>
                <w:bCs/>
                <w:color w:val="auto"/>
                <w:sz w:val="20"/>
                <w:szCs w:val="20"/>
              </w:rPr>
              <w:t>10%</w:t>
            </w:r>
          </w:p>
        </w:tc>
        <w:tc>
          <w:tcPr>
            <w:tcW w:w="2088" w:type="dxa"/>
            <w:shd w:val="clear" w:color="auto" w:fill="FFFFFF"/>
            <w:vAlign w:val="center"/>
          </w:tcPr>
          <w:p w14:paraId="2413655A" w14:textId="58DD733D" w:rsidR="00A04973" w:rsidRDefault="00A04973" w:rsidP="00A04973">
            <w:pPr>
              <w:pStyle w:val="Khc0"/>
              <w:spacing w:after="0" w:line="240" w:lineRule="auto"/>
              <w:ind w:firstLine="0"/>
              <w:jc w:val="center"/>
              <w:rPr>
                <w:rFonts w:ascii="Arial" w:hAnsi="Arial" w:cs="Arial"/>
                <w:b/>
                <w:bCs/>
                <w:color w:val="auto"/>
                <w:sz w:val="20"/>
                <w:szCs w:val="20"/>
              </w:rPr>
            </w:pPr>
            <w:r w:rsidRPr="00A04973">
              <w:rPr>
                <w:rFonts w:ascii="Arial" w:hAnsi="Arial" w:cs="Arial"/>
                <w:b/>
                <w:bCs/>
                <w:color w:val="auto"/>
                <w:sz w:val="20"/>
                <w:szCs w:val="20"/>
              </w:rPr>
              <w:t>10%</w:t>
            </w:r>
          </w:p>
        </w:tc>
      </w:tr>
      <w:tr w:rsidR="00A04973" w:rsidRPr="00A04973" w14:paraId="70480962" w14:textId="77777777" w:rsidTr="00A04973">
        <w:tblPrEx>
          <w:tblCellMar>
            <w:top w:w="0" w:type="dxa"/>
            <w:bottom w:w="0" w:type="dxa"/>
          </w:tblCellMar>
        </w:tblPrEx>
        <w:trPr>
          <w:trHeight w:hRule="exact" w:val="892"/>
          <w:jc w:val="center"/>
        </w:trPr>
        <w:tc>
          <w:tcPr>
            <w:tcW w:w="3144" w:type="dxa"/>
            <w:shd w:val="clear" w:color="auto" w:fill="FFFFFF"/>
            <w:vAlign w:val="center"/>
          </w:tcPr>
          <w:p w14:paraId="6D03C677" w14:textId="169CF5EE" w:rsidR="00A04973" w:rsidRDefault="00A04973" w:rsidP="00A04973">
            <w:pPr>
              <w:pStyle w:val="Khc0"/>
              <w:spacing w:after="0" w:line="240" w:lineRule="auto"/>
              <w:ind w:firstLine="0"/>
              <w:jc w:val="center"/>
              <w:rPr>
                <w:rFonts w:ascii="Arial" w:hAnsi="Arial" w:cs="Arial"/>
                <w:color w:val="auto"/>
                <w:sz w:val="20"/>
                <w:szCs w:val="20"/>
              </w:rPr>
            </w:pPr>
            <w:r>
              <w:rPr>
                <w:rFonts w:ascii="Arial" w:hAnsi="Arial" w:cs="Arial"/>
                <w:color w:val="auto"/>
                <w:sz w:val="20"/>
                <w:szCs w:val="20"/>
              </w:rPr>
              <w:t>Dividend</w:t>
            </w:r>
          </w:p>
        </w:tc>
        <w:tc>
          <w:tcPr>
            <w:tcW w:w="2391" w:type="dxa"/>
            <w:shd w:val="clear" w:color="auto" w:fill="FFFFFF"/>
            <w:vAlign w:val="center"/>
          </w:tcPr>
          <w:p w14:paraId="44E1C17C" w14:textId="2F7A6AB4" w:rsidR="00A04973" w:rsidRPr="00A04973" w:rsidRDefault="003735F1" w:rsidP="003735F1">
            <w:pPr>
              <w:pStyle w:val="Khc0"/>
              <w:spacing w:after="0" w:line="240" w:lineRule="auto"/>
              <w:ind w:firstLine="0"/>
              <w:jc w:val="center"/>
              <w:rPr>
                <w:rFonts w:ascii="Arial" w:hAnsi="Arial" w:cs="Arial"/>
                <w:b/>
                <w:bCs/>
                <w:color w:val="auto"/>
                <w:sz w:val="20"/>
                <w:szCs w:val="20"/>
              </w:rPr>
            </w:pPr>
            <w:r w:rsidRPr="003735F1">
              <w:rPr>
                <w:rFonts w:ascii="Arial" w:hAnsi="Arial" w:cs="Arial"/>
                <w:color w:val="auto"/>
                <w:sz w:val="20"/>
                <w:szCs w:val="20"/>
              </w:rPr>
              <w:t>&gt;</w:t>
            </w:r>
            <w:r>
              <w:rPr>
                <w:rFonts w:ascii="Arial" w:hAnsi="Arial" w:cs="Arial"/>
                <w:color w:val="auto"/>
                <w:sz w:val="20"/>
                <w:szCs w:val="20"/>
              </w:rPr>
              <w:t>=</w:t>
            </w:r>
            <w:r w:rsidRPr="003735F1">
              <w:rPr>
                <w:rFonts w:ascii="Arial" w:hAnsi="Arial" w:cs="Arial"/>
                <w:color w:val="auto"/>
                <w:sz w:val="20"/>
                <w:szCs w:val="20"/>
              </w:rPr>
              <w:t xml:space="preserve"> </w:t>
            </w:r>
            <w:r>
              <w:rPr>
                <w:rFonts w:ascii="Arial" w:hAnsi="Arial" w:cs="Arial"/>
                <w:color w:val="auto"/>
                <w:sz w:val="20"/>
                <w:szCs w:val="20"/>
              </w:rPr>
              <w:t xml:space="preserve">VND </w:t>
            </w:r>
            <w:r w:rsidRPr="003735F1">
              <w:rPr>
                <w:rFonts w:ascii="Arial" w:hAnsi="Arial" w:cs="Arial"/>
                <w:color w:val="auto"/>
                <w:sz w:val="20"/>
                <w:szCs w:val="20"/>
              </w:rPr>
              <w:t>1,500</w:t>
            </w:r>
            <w:r>
              <w:rPr>
                <w:rFonts w:ascii="Arial" w:hAnsi="Arial" w:cs="Arial"/>
                <w:color w:val="auto"/>
                <w:sz w:val="20"/>
                <w:szCs w:val="20"/>
              </w:rPr>
              <w:t>/</w:t>
            </w:r>
            <w:r w:rsidRPr="003735F1">
              <w:rPr>
                <w:rFonts w:ascii="Arial" w:hAnsi="Arial" w:cs="Arial"/>
                <w:color w:val="auto"/>
                <w:sz w:val="20"/>
                <w:szCs w:val="20"/>
              </w:rPr>
              <w:t>share</w:t>
            </w:r>
          </w:p>
        </w:tc>
        <w:tc>
          <w:tcPr>
            <w:tcW w:w="2026" w:type="dxa"/>
            <w:shd w:val="clear" w:color="auto" w:fill="FFFFFF"/>
            <w:vAlign w:val="center"/>
          </w:tcPr>
          <w:p w14:paraId="23C88E6F" w14:textId="21830195" w:rsidR="00A04973" w:rsidRPr="00A04973" w:rsidRDefault="003735F1" w:rsidP="003735F1">
            <w:pPr>
              <w:pStyle w:val="Khc0"/>
              <w:spacing w:after="0" w:line="240" w:lineRule="auto"/>
              <w:ind w:firstLine="0"/>
              <w:jc w:val="center"/>
              <w:rPr>
                <w:rFonts w:ascii="Arial" w:hAnsi="Arial" w:cs="Arial"/>
                <w:b/>
                <w:bCs/>
                <w:color w:val="auto"/>
                <w:sz w:val="20"/>
                <w:szCs w:val="20"/>
              </w:rPr>
            </w:pPr>
            <w:r>
              <w:rPr>
                <w:rFonts w:ascii="Arial" w:hAnsi="Arial" w:cs="Arial"/>
                <w:color w:val="auto"/>
                <w:sz w:val="20"/>
                <w:szCs w:val="20"/>
              </w:rPr>
              <w:t xml:space="preserve">VND </w:t>
            </w:r>
            <w:r w:rsidRPr="003735F1">
              <w:rPr>
                <w:rFonts w:ascii="Arial" w:hAnsi="Arial" w:cs="Arial"/>
                <w:color w:val="auto"/>
                <w:sz w:val="20"/>
                <w:szCs w:val="20"/>
              </w:rPr>
              <w:t>1,000/share</w:t>
            </w:r>
          </w:p>
        </w:tc>
        <w:tc>
          <w:tcPr>
            <w:tcW w:w="2088" w:type="dxa"/>
            <w:shd w:val="clear" w:color="auto" w:fill="FFFFFF"/>
            <w:vAlign w:val="center"/>
          </w:tcPr>
          <w:p w14:paraId="600D10BD" w14:textId="3C8AA8D0" w:rsidR="00A04973" w:rsidRPr="00217A27" w:rsidRDefault="003735F1" w:rsidP="00217A27">
            <w:pPr>
              <w:pStyle w:val="Khc0"/>
              <w:spacing w:after="0" w:line="240" w:lineRule="auto"/>
              <w:ind w:firstLine="0"/>
              <w:jc w:val="center"/>
              <w:rPr>
                <w:rFonts w:ascii="Arial" w:hAnsi="Arial" w:cs="Arial"/>
                <w:color w:val="auto"/>
                <w:sz w:val="20"/>
                <w:szCs w:val="20"/>
              </w:rPr>
            </w:pPr>
            <w:r>
              <w:rPr>
                <w:rFonts w:ascii="Arial" w:hAnsi="Arial" w:cs="Arial"/>
                <w:color w:val="auto"/>
                <w:sz w:val="20"/>
                <w:szCs w:val="20"/>
              </w:rPr>
              <w:t xml:space="preserve">VND </w:t>
            </w:r>
            <w:r w:rsidRPr="003735F1">
              <w:rPr>
                <w:rFonts w:ascii="Arial" w:hAnsi="Arial" w:cs="Arial"/>
                <w:color w:val="auto"/>
                <w:sz w:val="20"/>
                <w:szCs w:val="20"/>
              </w:rPr>
              <w:t>1,000/share</w:t>
            </w:r>
          </w:p>
        </w:tc>
      </w:tr>
      <w:tr w:rsidR="00A04973" w:rsidRPr="00A04973" w14:paraId="2E731572" w14:textId="77777777" w:rsidTr="00A04973">
        <w:tblPrEx>
          <w:tblCellMar>
            <w:top w:w="0" w:type="dxa"/>
            <w:bottom w:w="0" w:type="dxa"/>
          </w:tblCellMar>
        </w:tblPrEx>
        <w:trPr>
          <w:trHeight w:hRule="exact" w:val="892"/>
          <w:jc w:val="center"/>
        </w:trPr>
        <w:tc>
          <w:tcPr>
            <w:tcW w:w="3144" w:type="dxa"/>
            <w:shd w:val="clear" w:color="auto" w:fill="FFFFFF"/>
            <w:vAlign w:val="center"/>
          </w:tcPr>
          <w:p w14:paraId="355D4431" w14:textId="100A8D09" w:rsidR="00A04973" w:rsidRDefault="00A04973" w:rsidP="00A04973">
            <w:pPr>
              <w:pStyle w:val="Khc0"/>
              <w:spacing w:after="0" w:line="240" w:lineRule="auto"/>
              <w:ind w:firstLine="0"/>
              <w:jc w:val="center"/>
              <w:rPr>
                <w:rFonts w:ascii="Arial" w:hAnsi="Arial" w:cs="Arial"/>
                <w:color w:val="auto"/>
                <w:sz w:val="20"/>
                <w:szCs w:val="20"/>
              </w:rPr>
            </w:pPr>
            <w:r w:rsidRPr="00A04973">
              <w:rPr>
                <w:rFonts w:ascii="Arial" w:hAnsi="Arial" w:cs="Arial"/>
                <w:color w:val="auto"/>
                <w:sz w:val="20"/>
                <w:szCs w:val="20"/>
              </w:rPr>
              <w:t>Number of outstanding shares</w:t>
            </w:r>
          </w:p>
        </w:tc>
        <w:tc>
          <w:tcPr>
            <w:tcW w:w="2391" w:type="dxa"/>
            <w:shd w:val="clear" w:color="auto" w:fill="FFFFFF"/>
            <w:vAlign w:val="center"/>
          </w:tcPr>
          <w:p w14:paraId="560DE4BD" w14:textId="7DD0ED6B" w:rsidR="00A04973" w:rsidRPr="00A04973" w:rsidRDefault="003735F1" w:rsidP="00A04973">
            <w:pPr>
              <w:pStyle w:val="Khc0"/>
              <w:spacing w:after="0" w:line="240" w:lineRule="auto"/>
              <w:ind w:firstLine="0"/>
              <w:jc w:val="center"/>
              <w:rPr>
                <w:rFonts w:ascii="Arial" w:hAnsi="Arial" w:cs="Arial"/>
                <w:color w:val="auto"/>
                <w:sz w:val="20"/>
                <w:szCs w:val="20"/>
              </w:rPr>
            </w:pPr>
            <w:r w:rsidRPr="003735F1">
              <w:rPr>
                <w:rFonts w:ascii="Arial" w:hAnsi="Arial" w:cs="Arial"/>
                <w:color w:val="auto"/>
                <w:sz w:val="20"/>
                <w:szCs w:val="20"/>
              </w:rPr>
              <w:t>356,939,955 shares</w:t>
            </w:r>
          </w:p>
        </w:tc>
        <w:tc>
          <w:tcPr>
            <w:tcW w:w="2026" w:type="dxa"/>
            <w:shd w:val="clear" w:color="auto" w:fill="FFFFFF"/>
            <w:vAlign w:val="center"/>
          </w:tcPr>
          <w:p w14:paraId="6E0D17CD" w14:textId="642D2985" w:rsidR="00A04973" w:rsidRPr="00A04973" w:rsidRDefault="003735F1" w:rsidP="00A04973">
            <w:pPr>
              <w:pStyle w:val="Khc0"/>
              <w:spacing w:after="0" w:line="240" w:lineRule="auto"/>
              <w:ind w:firstLine="0"/>
              <w:jc w:val="center"/>
              <w:rPr>
                <w:rFonts w:ascii="Arial" w:hAnsi="Arial" w:cs="Arial"/>
                <w:color w:val="auto"/>
                <w:sz w:val="20"/>
                <w:szCs w:val="20"/>
              </w:rPr>
            </w:pPr>
            <w:r w:rsidRPr="003735F1">
              <w:rPr>
                <w:rFonts w:ascii="Arial" w:hAnsi="Arial" w:cs="Arial"/>
                <w:color w:val="auto"/>
                <w:sz w:val="20"/>
                <w:szCs w:val="20"/>
              </w:rPr>
              <w:t>356,939,955 shares</w:t>
            </w:r>
          </w:p>
        </w:tc>
        <w:tc>
          <w:tcPr>
            <w:tcW w:w="2088" w:type="dxa"/>
            <w:shd w:val="clear" w:color="auto" w:fill="FFFFFF"/>
            <w:vAlign w:val="center"/>
          </w:tcPr>
          <w:p w14:paraId="0756F7F5" w14:textId="6BB8AE6E" w:rsidR="00A04973" w:rsidRPr="00A04973" w:rsidRDefault="003735F1" w:rsidP="00A04973">
            <w:pPr>
              <w:pStyle w:val="Khc0"/>
              <w:spacing w:after="0" w:line="240" w:lineRule="auto"/>
              <w:ind w:firstLine="0"/>
              <w:jc w:val="center"/>
              <w:rPr>
                <w:rFonts w:ascii="Arial" w:hAnsi="Arial" w:cs="Arial"/>
                <w:color w:val="auto"/>
                <w:sz w:val="20"/>
                <w:szCs w:val="20"/>
              </w:rPr>
            </w:pPr>
            <w:r w:rsidRPr="003735F1">
              <w:rPr>
                <w:rFonts w:ascii="Arial" w:hAnsi="Arial" w:cs="Arial"/>
                <w:color w:val="auto"/>
                <w:sz w:val="20"/>
                <w:szCs w:val="20"/>
              </w:rPr>
              <w:t>356,939,955 shares</w:t>
            </w:r>
          </w:p>
        </w:tc>
      </w:tr>
      <w:tr w:rsidR="00A04973" w:rsidRPr="00A04973" w14:paraId="60F457FD" w14:textId="77777777" w:rsidTr="00A04973">
        <w:tblPrEx>
          <w:tblCellMar>
            <w:top w:w="0" w:type="dxa"/>
            <w:bottom w:w="0" w:type="dxa"/>
          </w:tblCellMar>
        </w:tblPrEx>
        <w:trPr>
          <w:trHeight w:hRule="exact" w:val="892"/>
          <w:jc w:val="center"/>
        </w:trPr>
        <w:tc>
          <w:tcPr>
            <w:tcW w:w="3144" w:type="dxa"/>
            <w:shd w:val="clear" w:color="auto" w:fill="FFFFFF"/>
            <w:vAlign w:val="center"/>
          </w:tcPr>
          <w:p w14:paraId="6D3141CF" w14:textId="18E073A8" w:rsidR="00A04973" w:rsidRPr="00A04973" w:rsidRDefault="00A04973" w:rsidP="00A04973">
            <w:pPr>
              <w:pStyle w:val="Khc0"/>
              <w:spacing w:after="0" w:line="240" w:lineRule="auto"/>
              <w:ind w:firstLine="0"/>
              <w:jc w:val="center"/>
              <w:rPr>
                <w:rFonts w:ascii="Arial" w:hAnsi="Arial" w:cs="Arial"/>
                <w:color w:val="auto"/>
                <w:sz w:val="20"/>
                <w:szCs w:val="20"/>
              </w:rPr>
            </w:pPr>
            <w:r w:rsidRPr="00A04973">
              <w:rPr>
                <w:rFonts w:ascii="Arial" w:hAnsi="Arial" w:cs="Arial"/>
                <w:b/>
                <w:bCs/>
                <w:color w:val="auto"/>
                <w:sz w:val="20"/>
                <w:szCs w:val="20"/>
              </w:rPr>
              <w:t>Dividend payment amount</w:t>
            </w:r>
          </w:p>
        </w:tc>
        <w:tc>
          <w:tcPr>
            <w:tcW w:w="2391" w:type="dxa"/>
            <w:shd w:val="clear" w:color="auto" w:fill="FFFFFF"/>
            <w:vAlign w:val="center"/>
          </w:tcPr>
          <w:p w14:paraId="15B68449" w14:textId="065C34F0" w:rsidR="00A04973" w:rsidRPr="00A04973" w:rsidRDefault="003735F1" w:rsidP="003735F1">
            <w:pPr>
              <w:pStyle w:val="Khc0"/>
              <w:spacing w:after="0" w:line="240" w:lineRule="auto"/>
              <w:ind w:firstLine="0"/>
              <w:jc w:val="center"/>
              <w:rPr>
                <w:rFonts w:ascii="Arial" w:hAnsi="Arial" w:cs="Arial"/>
                <w:color w:val="auto"/>
                <w:sz w:val="20"/>
                <w:szCs w:val="20"/>
              </w:rPr>
            </w:pPr>
            <w:r w:rsidRPr="003735F1">
              <w:rPr>
                <w:rFonts w:ascii="Arial" w:hAnsi="Arial" w:cs="Arial"/>
                <w:color w:val="auto"/>
                <w:sz w:val="20"/>
                <w:szCs w:val="20"/>
              </w:rPr>
              <w:t>&gt;</w:t>
            </w:r>
            <w:r>
              <w:rPr>
                <w:rFonts w:ascii="Arial" w:hAnsi="Arial" w:cs="Arial"/>
                <w:color w:val="auto"/>
                <w:sz w:val="20"/>
                <w:szCs w:val="20"/>
              </w:rPr>
              <w:t>=</w:t>
            </w:r>
            <w:r w:rsidRPr="003735F1">
              <w:rPr>
                <w:rFonts w:ascii="Arial" w:hAnsi="Arial" w:cs="Arial"/>
                <w:color w:val="auto"/>
                <w:sz w:val="20"/>
                <w:szCs w:val="20"/>
              </w:rPr>
              <w:t xml:space="preserve"> </w:t>
            </w:r>
            <w:r>
              <w:rPr>
                <w:rFonts w:ascii="Arial" w:hAnsi="Arial" w:cs="Arial"/>
                <w:color w:val="auto"/>
                <w:sz w:val="20"/>
                <w:szCs w:val="20"/>
              </w:rPr>
              <w:t>VND 535,409,932,500</w:t>
            </w:r>
          </w:p>
        </w:tc>
        <w:tc>
          <w:tcPr>
            <w:tcW w:w="2026" w:type="dxa"/>
            <w:shd w:val="clear" w:color="auto" w:fill="FFFFFF"/>
            <w:vAlign w:val="center"/>
          </w:tcPr>
          <w:p w14:paraId="15FD8F28" w14:textId="49534149" w:rsidR="00A04973" w:rsidRPr="00A04973" w:rsidRDefault="003735F1" w:rsidP="003735F1">
            <w:pPr>
              <w:pStyle w:val="Khc0"/>
              <w:spacing w:after="0" w:line="240" w:lineRule="auto"/>
              <w:ind w:firstLine="0"/>
              <w:jc w:val="center"/>
              <w:rPr>
                <w:rFonts w:ascii="Arial" w:hAnsi="Arial" w:cs="Arial"/>
                <w:color w:val="auto"/>
                <w:sz w:val="20"/>
                <w:szCs w:val="20"/>
              </w:rPr>
            </w:pPr>
            <w:r>
              <w:rPr>
                <w:rFonts w:ascii="Arial" w:hAnsi="Arial" w:cs="Arial"/>
                <w:color w:val="auto"/>
                <w:sz w:val="20"/>
                <w:szCs w:val="20"/>
              </w:rPr>
              <w:t>VND 356,939,955,000</w:t>
            </w:r>
          </w:p>
        </w:tc>
        <w:tc>
          <w:tcPr>
            <w:tcW w:w="2088" w:type="dxa"/>
            <w:shd w:val="clear" w:color="auto" w:fill="FFFFFF"/>
            <w:vAlign w:val="center"/>
          </w:tcPr>
          <w:p w14:paraId="3B69B292" w14:textId="61665FE9" w:rsidR="00A04973" w:rsidRPr="00A04973" w:rsidRDefault="003735F1" w:rsidP="003735F1">
            <w:pPr>
              <w:pStyle w:val="Khc0"/>
              <w:spacing w:after="0" w:line="240" w:lineRule="auto"/>
              <w:ind w:firstLine="0"/>
              <w:jc w:val="center"/>
              <w:rPr>
                <w:rFonts w:ascii="Arial" w:hAnsi="Arial" w:cs="Arial"/>
                <w:color w:val="auto"/>
                <w:sz w:val="20"/>
                <w:szCs w:val="20"/>
              </w:rPr>
            </w:pPr>
            <w:r>
              <w:rPr>
                <w:rFonts w:ascii="Arial" w:hAnsi="Arial" w:cs="Arial"/>
                <w:color w:val="auto"/>
                <w:sz w:val="20"/>
                <w:szCs w:val="20"/>
              </w:rPr>
              <w:t>VND 356,939,955,000</w:t>
            </w:r>
          </w:p>
        </w:tc>
      </w:tr>
    </w:tbl>
    <w:p w14:paraId="2249CE14" w14:textId="1A67A1D9" w:rsidR="00A04973" w:rsidRPr="00A04973" w:rsidRDefault="00A04973" w:rsidP="003735F1">
      <w:pPr>
        <w:pStyle w:val="BodyText"/>
        <w:spacing w:after="120" w:line="360" w:lineRule="auto"/>
        <w:ind w:firstLine="0"/>
        <w:rPr>
          <w:rFonts w:ascii="Arial" w:hAnsi="Arial" w:cs="Arial"/>
          <w:color w:val="010000"/>
          <w:sz w:val="20"/>
          <w:szCs w:val="20"/>
        </w:rPr>
      </w:pPr>
    </w:p>
    <w:p w14:paraId="13E886D4" w14:textId="6784E615" w:rsidR="00A04973" w:rsidRPr="00A04973" w:rsidRDefault="00A04973" w:rsidP="00A04973">
      <w:pPr>
        <w:pStyle w:val="BodyText"/>
        <w:spacing w:after="120" w:line="360" w:lineRule="auto"/>
        <w:rPr>
          <w:rFonts w:ascii="Arial" w:hAnsi="Arial" w:cs="Arial"/>
          <w:color w:val="010000"/>
          <w:sz w:val="20"/>
          <w:szCs w:val="20"/>
        </w:rPr>
      </w:pPr>
      <w:r w:rsidRPr="00A04973">
        <w:rPr>
          <w:rFonts w:ascii="Arial" w:hAnsi="Arial" w:cs="Arial"/>
          <w:color w:val="010000"/>
          <w:sz w:val="20"/>
          <w:szCs w:val="20"/>
        </w:rPr>
        <w:t xml:space="preserve">- </w:t>
      </w:r>
      <w:r w:rsidR="003735F1">
        <w:rPr>
          <w:rFonts w:ascii="Arial" w:hAnsi="Arial" w:cs="Arial"/>
          <w:color w:val="010000"/>
          <w:sz w:val="20"/>
          <w:szCs w:val="20"/>
        </w:rPr>
        <w:t>Record</w:t>
      </w:r>
      <w:r w:rsidRPr="00A04973">
        <w:rPr>
          <w:rFonts w:ascii="Arial" w:hAnsi="Arial" w:cs="Arial"/>
          <w:color w:val="010000"/>
          <w:sz w:val="20"/>
          <w:szCs w:val="20"/>
        </w:rPr>
        <w:t xml:space="preserve"> date: January 11, 2024</w:t>
      </w:r>
    </w:p>
    <w:p w14:paraId="5A8940B7" w14:textId="77777777" w:rsidR="00A04973" w:rsidRPr="00A04973" w:rsidRDefault="00A04973" w:rsidP="00A04973">
      <w:pPr>
        <w:pStyle w:val="BodyText"/>
        <w:spacing w:after="120" w:line="360" w:lineRule="auto"/>
        <w:rPr>
          <w:rFonts w:ascii="Arial" w:hAnsi="Arial" w:cs="Arial"/>
          <w:color w:val="010000"/>
          <w:sz w:val="20"/>
          <w:szCs w:val="20"/>
        </w:rPr>
      </w:pPr>
      <w:r w:rsidRPr="00A04973">
        <w:rPr>
          <w:rFonts w:ascii="Arial" w:hAnsi="Arial" w:cs="Arial"/>
          <w:color w:val="010000"/>
          <w:sz w:val="20"/>
          <w:szCs w:val="20"/>
        </w:rPr>
        <w:t>- Form of dividend payment: Vietnamese currency</w:t>
      </w:r>
    </w:p>
    <w:p w14:paraId="5E84942E" w14:textId="77777777" w:rsidR="00A04973" w:rsidRPr="00A04973" w:rsidRDefault="00A04973" w:rsidP="00A04973">
      <w:pPr>
        <w:pStyle w:val="BodyText"/>
        <w:spacing w:after="120" w:line="360" w:lineRule="auto"/>
        <w:rPr>
          <w:rFonts w:ascii="Arial" w:hAnsi="Arial" w:cs="Arial"/>
          <w:color w:val="010000"/>
          <w:sz w:val="20"/>
          <w:szCs w:val="20"/>
        </w:rPr>
      </w:pPr>
      <w:r w:rsidRPr="00A04973">
        <w:rPr>
          <w:rFonts w:ascii="Arial" w:hAnsi="Arial" w:cs="Arial"/>
          <w:color w:val="010000"/>
          <w:sz w:val="20"/>
          <w:szCs w:val="20"/>
        </w:rPr>
        <w:t>- Payment date: January 24, 2024.</w:t>
      </w:r>
    </w:p>
    <w:p w14:paraId="1F35918A" w14:textId="77777777" w:rsidR="00A04973" w:rsidRPr="00A04973" w:rsidRDefault="00A04973" w:rsidP="00A04973">
      <w:pPr>
        <w:pStyle w:val="BodyText"/>
        <w:spacing w:after="120" w:line="360" w:lineRule="auto"/>
        <w:rPr>
          <w:rFonts w:ascii="Arial" w:hAnsi="Arial" w:cs="Arial"/>
          <w:color w:val="010000"/>
          <w:sz w:val="20"/>
          <w:szCs w:val="20"/>
        </w:rPr>
      </w:pPr>
      <w:r w:rsidRPr="00A04973">
        <w:rPr>
          <w:rFonts w:ascii="Arial" w:hAnsi="Arial" w:cs="Arial"/>
          <w:color w:val="010000"/>
          <w:sz w:val="20"/>
          <w:szCs w:val="20"/>
        </w:rPr>
        <w:t>- Information disclosure: The Company is responsible for disclosing information in accordance with regulations.</w:t>
      </w:r>
    </w:p>
    <w:p w14:paraId="651D1307" w14:textId="77777777" w:rsidR="00A04973" w:rsidRPr="00A04973" w:rsidRDefault="00A04973" w:rsidP="00A04973">
      <w:pPr>
        <w:pStyle w:val="BodyText"/>
        <w:spacing w:after="120" w:line="360" w:lineRule="auto"/>
        <w:rPr>
          <w:rFonts w:ascii="Arial" w:hAnsi="Arial" w:cs="Arial"/>
          <w:color w:val="010000"/>
          <w:sz w:val="20"/>
          <w:szCs w:val="20"/>
        </w:rPr>
      </w:pPr>
      <w:r w:rsidRPr="00A04973">
        <w:rPr>
          <w:rFonts w:ascii="Arial" w:hAnsi="Arial" w:cs="Arial"/>
          <w:color w:val="010000"/>
          <w:sz w:val="20"/>
          <w:szCs w:val="20"/>
        </w:rPr>
        <w:t>3. Approve the plan to organize the Annual General Meeting of Shareholders in 2024</w:t>
      </w:r>
    </w:p>
    <w:p w14:paraId="276FE0B7" w14:textId="28986131" w:rsidR="00A04973" w:rsidRPr="00A04973" w:rsidRDefault="00A04973" w:rsidP="00A04973">
      <w:pPr>
        <w:pStyle w:val="BodyText"/>
        <w:spacing w:after="120" w:line="360" w:lineRule="auto"/>
        <w:rPr>
          <w:rFonts w:ascii="Arial" w:hAnsi="Arial" w:cs="Arial"/>
          <w:color w:val="010000"/>
          <w:sz w:val="20"/>
          <w:szCs w:val="20"/>
        </w:rPr>
      </w:pPr>
      <w:r w:rsidRPr="00A04973">
        <w:rPr>
          <w:rFonts w:ascii="Arial" w:hAnsi="Arial" w:cs="Arial"/>
          <w:color w:val="010000"/>
          <w:sz w:val="20"/>
          <w:szCs w:val="20"/>
        </w:rPr>
        <w:lastRenderedPageBreak/>
        <w:t xml:space="preserve">a. </w:t>
      </w:r>
      <w:r w:rsidR="003735F1">
        <w:rPr>
          <w:rFonts w:ascii="Arial" w:hAnsi="Arial" w:cs="Arial"/>
          <w:color w:val="010000"/>
          <w:sz w:val="20"/>
          <w:szCs w:val="20"/>
        </w:rPr>
        <w:t>Record date</w:t>
      </w:r>
      <w:r w:rsidRPr="00A04973">
        <w:rPr>
          <w:rFonts w:ascii="Arial" w:hAnsi="Arial" w:cs="Arial"/>
          <w:color w:val="010000"/>
          <w:sz w:val="20"/>
          <w:szCs w:val="20"/>
        </w:rPr>
        <w:t xml:space="preserve"> to exercise the right to attend the 2024 Annual General Meeting of Shareholders:</w:t>
      </w:r>
    </w:p>
    <w:p w14:paraId="0A0C98E9" w14:textId="29514AF6" w:rsidR="00A04973" w:rsidRPr="00A04973" w:rsidRDefault="003735F1" w:rsidP="00A04973">
      <w:pPr>
        <w:pStyle w:val="BodyText"/>
        <w:spacing w:after="120" w:line="360" w:lineRule="auto"/>
        <w:rPr>
          <w:rFonts w:ascii="Arial" w:hAnsi="Arial" w:cs="Arial"/>
          <w:color w:val="010000"/>
          <w:sz w:val="20"/>
          <w:szCs w:val="20"/>
        </w:rPr>
      </w:pPr>
      <w:r>
        <w:rPr>
          <w:rFonts w:ascii="Arial" w:hAnsi="Arial" w:cs="Arial"/>
          <w:color w:val="010000"/>
          <w:sz w:val="20"/>
          <w:szCs w:val="20"/>
        </w:rPr>
        <w:t>Record date</w:t>
      </w:r>
      <w:r w:rsidR="00A04973" w:rsidRPr="00A04973">
        <w:rPr>
          <w:rFonts w:ascii="Arial" w:hAnsi="Arial" w:cs="Arial"/>
          <w:color w:val="010000"/>
          <w:sz w:val="20"/>
          <w:szCs w:val="20"/>
        </w:rPr>
        <w:t>: February 15, 2024</w:t>
      </w:r>
    </w:p>
    <w:p w14:paraId="2052E09D" w14:textId="1AF256A6" w:rsidR="00A04973" w:rsidRPr="00A04973" w:rsidRDefault="00A04973" w:rsidP="00A04973">
      <w:pPr>
        <w:pStyle w:val="BodyText"/>
        <w:spacing w:after="120" w:line="360" w:lineRule="auto"/>
        <w:rPr>
          <w:rFonts w:ascii="Arial" w:hAnsi="Arial" w:cs="Arial"/>
          <w:color w:val="010000"/>
          <w:sz w:val="20"/>
          <w:szCs w:val="20"/>
        </w:rPr>
      </w:pPr>
      <w:r w:rsidRPr="00A04973">
        <w:rPr>
          <w:rFonts w:ascii="Arial" w:hAnsi="Arial" w:cs="Arial"/>
          <w:color w:val="010000"/>
          <w:sz w:val="20"/>
          <w:szCs w:val="20"/>
        </w:rPr>
        <w:t>b</w:t>
      </w:r>
      <w:r w:rsidR="003735F1">
        <w:rPr>
          <w:rFonts w:ascii="Arial" w:hAnsi="Arial" w:cs="Arial"/>
          <w:color w:val="010000"/>
          <w:sz w:val="20"/>
          <w:szCs w:val="20"/>
        </w:rPr>
        <w:t xml:space="preserve">. Time and location of the </w:t>
      </w:r>
      <w:r w:rsidRPr="00A04973">
        <w:rPr>
          <w:rFonts w:ascii="Arial" w:hAnsi="Arial" w:cs="Arial"/>
          <w:color w:val="010000"/>
          <w:sz w:val="20"/>
          <w:szCs w:val="20"/>
        </w:rPr>
        <w:t>Annual General Meeting of Shareholders</w:t>
      </w:r>
      <w:r w:rsidR="003735F1">
        <w:rPr>
          <w:rFonts w:ascii="Arial" w:hAnsi="Arial" w:cs="Arial"/>
          <w:color w:val="010000"/>
          <w:sz w:val="20"/>
          <w:szCs w:val="20"/>
        </w:rPr>
        <w:t xml:space="preserve"> 2024</w:t>
      </w:r>
      <w:r w:rsidRPr="00A04973">
        <w:rPr>
          <w:rFonts w:ascii="Arial" w:hAnsi="Arial" w:cs="Arial"/>
          <w:color w:val="010000"/>
          <w:sz w:val="20"/>
          <w:szCs w:val="20"/>
        </w:rPr>
        <w:t>:</w:t>
      </w:r>
    </w:p>
    <w:p w14:paraId="267FA2D4" w14:textId="77777777" w:rsidR="00A04973" w:rsidRPr="00A04973" w:rsidRDefault="00A04973" w:rsidP="00A04973">
      <w:pPr>
        <w:pStyle w:val="BodyText"/>
        <w:spacing w:after="120" w:line="360" w:lineRule="auto"/>
        <w:rPr>
          <w:rFonts w:ascii="Arial" w:hAnsi="Arial" w:cs="Arial"/>
          <w:color w:val="010000"/>
          <w:sz w:val="20"/>
          <w:szCs w:val="20"/>
        </w:rPr>
      </w:pPr>
      <w:r w:rsidRPr="00A04973">
        <w:rPr>
          <w:rFonts w:ascii="Arial" w:hAnsi="Arial" w:cs="Arial"/>
          <w:color w:val="010000"/>
          <w:sz w:val="20"/>
          <w:szCs w:val="20"/>
        </w:rPr>
        <w:t>- Meeting time: Saturday morning, March 30, 2024.</w:t>
      </w:r>
    </w:p>
    <w:p w14:paraId="099676E9" w14:textId="77777777" w:rsidR="00A04973" w:rsidRPr="00A04973" w:rsidRDefault="00A04973" w:rsidP="00A04973">
      <w:pPr>
        <w:pStyle w:val="BodyText"/>
        <w:spacing w:after="120" w:line="360" w:lineRule="auto"/>
        <w:rPr>
          <w:rFonts w:ascii="Arial" w:hAnsi="Arial" w:cs="Arial"/>
          <w:color w:val="010000"/>
          <w:sz w:val="20"/>
          <w:szCs w:val="20"/>
        </w:rPr>
      </w:pPr>
      <w:r w:rsidRPr="00A04973">
        <w:rPr>
          <w:rFonts w:ascii="Arial" w:hAnsi="Arial" w:cs="Arial"/>
          <w:color w:val="010000"/>
          <w:sz w:val="20"/>
          <w:szCs w:val="20"/>
        </w:rPr>
        <w:t>- Meeting location: Hall of Quang Ngai Road Joint Stock Company, No. 02 Nguyen Chi Thanh, Ward. Quang Phu, City. Quang Ngai, Quang Ngai province.</w:t>
      </w:r>
    </w:p>
    <w:p w14:paraId="6C5C7E97" w14:textId="77777777" w:rsidR="00A04973" w:rsidRPr="00A04973" w:rsidRDefault="00A04973" w:rsidP="00A04973">
      <w:pPr>
        <w:pStyle w:val="BodyText"/>
        <w:spacing w:after="120" w:line="360" w:lineRule="auto"/>
        <w:rPr>
          <w:rFonts w:ascii="Arial" w:hAnsi="Arial" w:cs="Arial"/>
          <w:color w:val="010000"/>
          <w:sz w:val="20"/>
          <w:szCs w:val="20"/>
        </w:rPr>
      </w:pPr>
      <w:r w:rsidRPr="00A04973">
        <w:rPr>
          <w:rFonts w:ascii="Arial" w:hAnsi="Arial" w:cs="Arial"/>
          <w:color w:val="010000"/>
          <w:sz w:val="20"/>
          <w:szCs w:val="20"/>
        </w:rPr>
        <w:t>Article 2. Implementation organization</w:t>
      </w:r>
    </w:p>
    <w:p w14:paraId="33715EAB" w14:textId="77777777" w:rsidR="00A04973" w:rsidRPr="00A04973" w:rsidRDefault="00A04973" w:rsidP="00A04973">
      <w:pPr>
        <w:pStyle w:val="BodyText"/>
        <w:spacing w:after="120" w:line="360" w:lineRule="auto"/>
        <w:rPr>
          <w:rFonts w:ascii="Arial" w:hAnsi="Arial" w:cs="Arial"/>
          <w:color w:val="010000"/>
          <w:sz w:val="20"/>
          <w:szCs w:val="20"/>
        </w:rPr>
      </w:pPr>
      <w:r w:rsidRPr="00A04973">
        <w:rPr>
          <w:rFonts w:ascii="Arial" w:hAnsi="Arial" w:cs="Arial"/>
          <w:color w:val="010000"/>
          <w:sz w:val="20"/>
          <w:szCs w:val="20"/>
        </w:rPr>
        <w:t>The Board of Directors assigned the Chairman of the Board of Directors and General Director of Quang Ngai Sugar Joint Stock Company to organize and implement the resolved contents in accordance with the order and procedures prescribed by current law and Charter of the company.</w:t>
      </w:r>
    </w:p>
    <w:p w14:paraId="1F498AAF" w14:textId="77777777" w:rsidR="00A04973" w:rsidRPr="00A04973" w:rsidRDefault="00A04973" w:rsidP="00A04973">
      <w:pPr>
        <w:pStyle w:val="BodyText"/>
        <w:spacing w:after="120" w:line="360" w:lineRule="auto"/>
        <w:rPr>
          <w:rFonts w:ascii="Arial" w:hAnsi="Arial" w:cs="Arial"/>
          <w:color w:val="010000"/>
          <w:sz w:val="20"/>
          <w:szCs w:val="20"/>
        </w:rPr>
      </w:pPr>
      <w:r w:rsidRPr="00A04973">
        <w:rPr>
          <w:rFonts w:ascii="Arial" w:hAnsi="Arial" w:cs="Arial"/>
          <w:color w:val="010000"/>
          <w:sz w:val="20"/>
          <w:szCs w:val="20"/>
        </w:rPr>
        <w:t>Article 3. Implementation effect:</w:t>
      </w:r>
    </w:p>
    <w:p w14:paraId="635A16C4" w14:textId="5DF2E52F" w:rsidR="00A04973" w:rsidRDefault="00A04973" w:rsidP="00A04973">
      <w:pPr>
        <w:pStyle w:val="BodyText"/>
        <w:spacing w:after="120" w:line="360" w:lineRule="auto"/>
        <w:rPr>
          <w:rFonts w:ascii="Arial" w:hAnsi="Arial" w:cs="Arial"/>
          <w:color w:val="010000"/>
          <w:sz w:val="20"/>
          <w:szCs w:val="20"/>
        </w:rPr>
      </w:pPr>
      <w:r w:rsidRPr="00A04973">
        <w:rPr>
          <w:rFonts w:ascii="Arial" w:hAnsi="Arial" w:cs="Arial"/>
          <w:color w:val="010000"/>
          <w:sz w:val="20"/>
          <w:szCs w:val="20"/>
        </w:rPr>
        <w:t>- Members of the Board of Directors. The Board of General Directors of Quang Ngai Sugar Joint Stock Company is responsible for implementing this Resolution.</w:t>
      </w:r>
    </w:p>
    <w:p w14:paraId="2F444E32" w14:textId="469CBC14" w:rsidR="00A04973" w:rsidRPr="00A04973" w:rsidRDefault="003735F1" w:rsidP="003735F1">
      <w:pPr>
        <w:pStyle w:val="BodyText"/>
        <w:spacing w:after="120" w:line="360" w:lineRule="auto"/>
        <w:rPr>
          <w:rFonts w:ascii="Arial" w:hAnsi="Arial" w:cs="Arial"/>
          <w:color w:val="010000"/>
          <w:sz w:val="20"/>
          <w:szCs w:val="20"/>
        </w:rPr>
      </w:pPr>
      <w:r>
        <w:rPr>
          <w:rFonts w:ascii="Arial" w:hAnsi="Arial" w:cs="Arial"/>
          <w:color w:val="010000"/>
          <w:sz w:val="20"/>
          <w:szCs w:val="20"/>
        </w:rPr>
        <w:t xml:space="preserve">- </w:t>
      </w:r>
      <w:bookmarkStart w:id="0" w:name="_GoBack"/>
      <w:bookmarkEnd w:id="0"/>
      <w:r w:rsidR="00A04973" w:rsidRPr="00A04973">
        <w:rPr>
          <w:rFonts w:ascii="Arial" w:hAnsi="Arial" w:cs="Arial"/>
          <w:color w:val="010000"/>
          <w:sz w:val="20"/>
          <w:szCs w:val="20"/>
        </w:rPr>
        <w:t>This Resolution takes effect from the date of signing./.</w:t>
      </w:r>
    </w:p>
    <w:sectPr w:rsidR="00A04973" w:rsidRPr="00A04973" w:rsidSect="00CE039A">
      <w:type w:val="continuous"/>
      <w:pgSz w:w="11906" w:h="16838"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31555" w14:textId="77777777" w:rsidR="00DB636B" w:rsidRDefault="00DB636B">
      <w:r>
        <w:separator/>
      </w:r>
    </w:p>
  </w:endnote>
  <w:endnote w:type="continuationSeparator" w:id="0">
    <w:p w14:paraId="4BD4A5FB" w14:textId="77777777" w:rsidR="00DB636B" w:rsidRDefault="00DB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7A6EA" w14:textId="77777777" w:rsidR="00DB636B" w:rsidRDefault="00DB636B"/>
  </w:footnote>
  <w:footnote w:type="continuationSeparator" w:id="0">
    <w:p w14:paraId="224160CC" w14:textId="77777777" w:rsidR="00DB636B" w:rsidRDefault="00DB636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349"/>
    <w:multiLevelType w:val="hybridMultilevel"/>
    <w:tmpl w:val="154EBE14"/>
    <w:lvl w:ilvl="0" w:tplc="8C9808B4">
      <w:start w:val="1"/>
      <w:numFmt w:val="bullet"/>
      <w:lvlText w:val=""/>
      <w:lvlJc w:val="left"/>
      <w:pPr>
        <w:ind w:left="720" w:hanging="360"/>
      </w:pPr>
      <w:rPr>
        <w:rFonts w:ascii="Symbol" w:hAnsi="Symbol" w:hint="default"/>
        <w:b w:val="0"/>
        <w:i w:val="0"/>
        <w:sz w:val="20"/>
      </w:rPr>
    </w:lvl>
    <w:lvl w:ilvl="1" w:tplc="8FD09246" w:tentative="1">
      <w:start w:val="1"/>
      <w:numFmt w:val="bullet"/>
      <w:lvlText w:val="o"/>
      <w:lvlJc w:val="left"/>
      <w:pPr>
        <w:ind w:left="1440" w:hanging="360"/>
      </w:pPr>
      <w:rPr>
        <w:rFonts w:ascii="Courier New" w:hAnsi="Courier New" w:cs="Courier New" w:hint="default"/>
        <w:b w:val="0"/>
        <w:i w:val="0"/>
        <w:sz w:val="20"/>
      </w:rPr>
    </w:lvl>
    <w:lvl w:ilvl="2" w:tplc="7E307A22"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37DAB"/>
    <w:multiLevelType w:val="multilevel"/>
    <w:tmpl w:val="D62A9868"/>
    <w:lvl w:ilvl="0">
      <w:start w:val="1"/>
      <w:numFmt w:val="bullet"/>
      <w:lvlText w:val="-"/>
      <w:lvlJc w:val="left"/>
      <w:rPr>
        <w:rFonts w:ascii="Times New Roman" w:eastAsia="Times New Roman" w:hAnsi="Times New Roman" w:cs="Times New Roman"/>
        <w:b w:val="0"/>
        <w:bCs w:val="0"/>
        <w:i w:val="0"/>
        <w:iCs w:val="0"/>
        <w:smallCaps w:val="0"/>
        <w:strike w:val="0"/>
        <w:color w:val="5C5A62"/>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8CE102A"/>
    <w:multiLevelType w:val="multilevel"/>
    <w:tmpl w:val="C2BC6190"/>
    <w:lvl w:ilvl="0">
      <w:start w:val="1"/>
      <w:numFmt w:val="bullet"/>
      <w:lvlText w:val="-"/>
      <w:lvlJc w:val="left"/>
      <w:rPr>
        <w:rFonts w:ascii="Times New Roman" w:eastAsia="Times New Roman" w:hAnsi="Times New Roman" w:cs="Times New Roman"/>
        <w:b w:val="0"/>
        <w:bCs w:val="0"/>
        <w:i w:val="0"/>
        <w:iCs w:val="0"/>
        <w:smallCaps w:val="0"/>
        <w:strike w:val="0"/>
        <w:color w:val="4847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612AB5"/>
    <w:multiLevelType w:val="multilevel"/>
    <w:tmpl w:val="430A40B2"/>
    <w:lvl w:ilvl="0">
      <w:start w:val="1"/>
      <w:numFmt w:val="bullet"/>
      <w:lvlText w:val="*"/>
      <w:lvlJc w:val="left"/>
      <w:rPr>
        <w:rFonts w:ascii="Times New Roman" w:eastAsia="Times New Roman" w:hAnsi="Times New Roman" w:cs="Times New Roman"/>
        <w:b/>
        <w:bCs/>
        <w:i w:val="0"/>
        <w:iCs w:val="0"/>
        <w:smallCaps w:val="0"/>
        <w:strike w:val="0"/>
        <w:color w:val="48474E"/>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55351A"/>
    <w:multiLevelType w:val="multilevel"/>
    <w:tmpl w:val="D1205C76"/>
    <w:lvl w:ilvl="0">
      <w:start w:val="1"/>
      <w:numFmt w:val="bullet"/>
      <w:lvlText w:val="-"/>
      <w:lvlJc w:val="left"/>
      <w:rPr>
        <w:rFonts w:ascii="Times New Roman" w:eastAsia="Times New Roman" w:hAnsi="Times New Roman" w:cs="Times New Roman"/>
        <w:b w:val="0"/>
        <w:bCs w:val="0"/>
        <w:i w:val="0"/>
        <w:iCs w:val="0"/>
        <w:smallCaps w:val="0"/>
        <w:strike w:val="0"/>
        <w:color w:val="48474E"/>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F350DC"/>
    <w:multiLevelType w:val="multilevel"/>
    <w:tmpl w:val="8C32EBEE"/>
    <w:lvl w:ilvl="0">
      <w:start w:val="1"/>
      <w:numFmt w:val="bullet"/>
      <w:lvlText w:val="-"/>
      <w:lvlJc w:val="left"/>
      <w:rPr>
        <w:rFonts w:ascii="Times New Roman" w:eastAsia="Times New Roman" w:hAnsi="Times New Roman" w:cs="Times New Roman"/>
        <w:b w:val="0"/>
        <w:bCs w:val="0"/>
        <w:i w:val="0"/>
        <w:iCs w:val="0"/>
        <w:smallCaps w:val="0"/>
        <w:strike w:val="0"/>
        <w:color w:val="323138"/>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4D"/>
    <w:rsid w:val="000038BA"/>
    <w:rsid w:val="000E619A"/>
    <w:rsid w:val="000F0445"/>
    <w:rsid w:val="001B3ED0"/>
    <w:rsid w:val="00217A27"/>
    <w:rsid w:val="002B5B62"/>
    <w:rsid w:val="003735F1"/>
    <w:rsid w:val="00383669"/>
    <w:rsid w:val="003D0F4D"/>
    <w:rsid w:val="004924BE"/>
    <w:rsid w:val="004E079B"/>
    <w:rsid w:val="00804E61"/>
    <w:rsid w:val="00A04973"/>
    <w:rsid w:val="00C17FDE"/>
    <w:rsid w:val="00C204BA"/>
    <w:rsid w:val="00C575BA"/>
    <w:rsid w:val="00CE039A"/>
    <w:rsid w:val="00DB636B"/>
    <w:rsid w:val="00F16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977AB"/>
  <w15:docId w15:val="{DF2F62C1-D0C5-46C4-B687-282277A2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color w:val="323138"/>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48474E"/>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color w:val="48474E"/>
      <w:sz w:val="26"/>
      <w:szCs w:val="26"/>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color w:val="323138"/>
      <w:sz w:val="26"/>
      <w:szCs w:val="26"/>
    </w:rPr>
  </w:style>
  <w:style w:type="character" w:customStyle="1" w:styleId="Other">
    <w:name w:val="Other_"/>
    <w:basedOn w:val="DefaultParagraphFont"/>
    <w:link w:val="Other0"/>
    <w:rPr>
      <w:rFonts w:ascii="Times New Roman" w:eastAsia="Times New Roman" w:hAnsi="Times New Roman" w:cs="Times New Roman"/>
      <w:color w:val="48474E"/>
      <w:sz w:val="26"/>
      <w:szCs w:val="26"/>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D35475"/>
      <w:sz w:val="19"/>
      <w:szCs w:val="19"/>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D35475"/>
      <w:sz w:val="24"/>
      <w:szCs w:val="24"/>
      <w:u w:val="none"/>
      <w:shd w:val="clear" w:color="auto" w:fill="auto"/>
    </w:rPr>
  </w:style>
  <w:style w:type="paragraph" w:customStyle="1" w:styleId="Heading10">
    <w:name w:val="Heading #1"/>
    <w:basedOn w:val="Normal"/>
    <w:link w:val="Heading1"/>
    <w:pPr>
      <w:outlineLvl w:val="0"/>
    </w:pPr>
    <w:rPr>
      <w:rFonts w:ascii="Times New Roman" w:eastAsia="Times New Roman" w:hAnsi="Times New Roman" w:cs="Times New Roman"/>
      <w:b/>
      <w:bCs/>
      <w:color w:val="323138"/>
      <w:sz w:val="26"/>
      <w:szCs w:val="26"/>
    </w:rPr>
  </w:style>
  <w:style w:type="paragraph" w:customStyle="1" w:styleId="Bodytext20">
    <w:name w:val="Body text (2)"/>
    <w:basedOn w:val="Normal"/>
    <w:link w:val="Bodytext2"/>
    <w:rPr>
      <w:rFonts w:ascii="Times New Roman" w:eastAsia="Times New Roman" w:hAnsi="Times New Roman" w:cs="Times New Roman"/>
      <w:color w:val="48474E"/>
      <w:sz w:val="20"/>
      <w:szCs w:val="20"/>
    </w:rPr>
  </w:style>
  <w:style w:type="paragraph" w:styleId="BodyText">
    <w:name w:val="Body Text"/>
    <w:basedOn w:val="Normal"/>
    <w:link w:val="BodyTextChar"/>
    <w:qFormat/>
    <w:pPr>
      <w:ind w:firstLine="400"/>
    </w:pPr>
    <w:rPr>
      <w:rFonts w:ascii="Times New Roman" w:eastAsia="Times New Roman" w:hAnsi="Times New Roman" w:cs="Times New Roman"/>
      <w:color w:val="48474E"/>
      <w:sz w:val="26"/>
      <w:szCs w:val="26"/>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30">
    <w:name w:val="Body text (3)"/>
    <w:basedOn w:val="Normal"/>
    <w:link w:val="Bodytext3"/>
    <w:rPr>
      <w:rFonts w:ascii="Times New Roman" w:eastAsia="Times New Roman" w:hAnsi="Times New Roman" w:cs="Times New Roman"/>
      <w:color w:val="FF0000"/>
      <w:sz w:val="17"/>
      <w:szCs w:val="17"/>
    </w:rPr>
  </w:style>
  <w:style w:type="paragraph" w:customStyle="1" w:styleId="Tablecaption0">
    <w:name w:val="Table caption"/>
    <w:basedOn w:val="Normal"/>
    <w:link w:val="Tablecaption"/>
    <w:rPr>
      <w:rFonts w:ascii="Times New Roman" w:eastAsia="Times New Roman" w:hAnsi="Times New Roman" w:cs="Times New Roman"/>
      <w:b/>
      <w:bCs/>
      <w:color w:val="323138"/>
      <w:sz w:val="26"/>
      <w:szCs w:val="26"/>
    </w:rPr>
  </w:style>
  <w:style w:type="paragraph" w:customStyle="1" w:styleId="Other0">
    <w:name w:val="Other"/>
    <w:basedOn w:val="Normal"/>
    <w:link w:val="Other"/>
    <w:pPr>
      <w:ind w:firstLine="400"/>
    </w:pPr>
    <w:rPr>
      <w:rFonts w:ascii="Times New Roman" w:eastAsia="Times New Roman" w:hAnsi="Times New Roman" w:cs="Times New Roman"/>
      <w:color w:val="48474E"/>
      <w:sz w:val="26"/>
      <w:szCs w:val="26"/>
    </w:rPr>
  </w:style>
  <w:style w:type="paragraph" w:customStyle="1" w:styleId="Bodytext50">
    <w:name w:val="Body text (5)"/>
    <w:basedOn w:val="Normal"/>
    <w:link w:val="Bodytext5"/>
    <w:rPr>
      <w:rFonts w:ascii="Arial" w:eastAsia="Arial" w:hAnsi="Arial" w:cs="Arial"/>
      <w:color w:val="D35475"/>
      <w:sz w:val="19"/>
      <w:szCs w:val="19"/>
    </w:rPr>
  </w:style>
  <w:style w:type="paragraph" w:customStyle="1" w:styleId="Bodytext60">
    <w:name w:val="Body text (6)"/>
    <w:basedOn w:val="Normal"/>
    <w:link w:val="Bodytext6"/>
    <w:rPr>
      <w:rFonts w:ascii="Arial" w:eastAsia="Arial" w:hAnsi="Arial" w:cs="Arial"/>
      <w:color w:val="D35475"/>
    </w:rPr>
  </w:style>
  <w:style w:type="character" w:customStyle="1" w:styleId="Khc">
    <w:name w:val="Khác_"/>
    <w:basedOn w:val="DefaultParagraphFont"/>
    <w:link w:val="Khc0"/>
    <w:rsid w:val="00A04973"/>
    <w:rPr>
      <w:rFonts w:ascii="Times New Roman" w:eastAsia="Times New Roman" w:hAnsi="Times New Roman" w:cs="Times New Roman"/>
      <w:color w:val="302F37"/>
    </w:rPr>
  </w:style>
  <w:style w:type="paragraph" w:customStyle="1" w:styleId="Khc0">
    <w:name w:val="Khác"/>
    <w:basedOn w:val="Normal"/>
    <w:link w:val="Khc"/>
    <w:rsid w:val="00A04973"/>
    <w:pPr>
      <w:spacing w:after="100" w:line="257" w:lineRule="auto"/>
      <w:ind w:firstLine="400"/>
    </w:pPr>
    <w:rPr>
      <w:rFonts w:ascii="Times New Roman" w:eastAsia="Times New Roman" w:hAnsi="Times New Roman" w:cs="Times New Roman"/>
      <w:color w:val="302F3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12</cp:revision>
  <dcterms:created xsi:type="dcterms:W3CDTF">2023-12-05T03:53:00Z</dcterms:created>
  <dcterms:modified xsi:type="dcterms:W3CDTF">2023-12-29T10:16:00Z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bd2bf97176b49afbe7dc38770129a1d091198c0efc20b9cc667c810348950bb5</vt:lpwstr>
  </property>
</Properties>
</file>