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26FE9589" w:rsidR="00BE5297" w:rsidRPr="00DA6C0E" w:rsidRDefault="002A59A5" w:rsidP="002A59A5">
      <w:pPr>
        <w:pBdr>
          <w:top w:val="nil"/>
          <w:left w:val="nil"/>
          <w:bottom w:val="nil"/>
          <w:right w:val="nil"/>
          <w:between w:val="nil"/>
        </w:pBdr>
        <w:tabs>
          <w:tab w:val="left" w:pos="4351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 w:cs="Arial"/>
          <w:b/>
          <w:color w:val="010000"/>
          <w:sz w:val="20"/>
        </w:rPr>
        <w:t xml:space="preserve">TIG: </w:t>
      </w:r>
      <w:r w:rsidR="00356AD1" w:rsidRPr="00DA6C0E">
        <w:rPr>
          <w:rFonts w:ascii="Arial" w:hAnsi="Arial" w:cs="Arial"/>
          <w:b/>
          <w:color w:val="010000"/>
          <w:sz w:val="20"/>
        </w:rPr>
        <w:t>State Securities Commis</w:t>
      </w:r>
      <w:r>
        <w:rPr>
          <w:rFonts w:ascii="Arial" w:hAnsi="Arial" w:cs="Arial"/>
          <w:b/>
          <w:color w:val="010000"/>
          <w:sz w:val="20"/>
        </w:rPr>
        <w:t>sion's document on reporting</w:t>
      </w:r>
      <w:r w:rsidR="00356AD1" w:rsidRPr="00DA6C0E">
        <w:rPr>
          <w:rFonts w:ascii="Arial" w:hAnsi="Arial" w:cs="Arial"/>
          <w:b/>
          <w:color w:val="010000"/>
          <w:sz w:val="20"/>
        </w:rPr>
        <w:t xml:space="preserve"> results of </w:t>
      </w:r>
      <w:r w:rsidR="008E234F" w:rsidRPr="00DA6C0E">
        <w:rPr>
          <w:rFonts w:ascii="Arial" w:hAnsi="Arial" w:cs="Arial"/>
          <w:b/>
          <w:color w:val="010000"/>
          <w:sz w:val="20"/>
        </w:rPr>
        <w:t xml:space="preserve">share </w:t>
      </w:r>
      <w:r>
        <w:rPr>
          <w:rFonts w:ascii="Arial" w:hAnsi="Arial" w:cs="Arial"/>
          <w:b/>
          <w:color w:val="010000"/>
          <w:sz w:val="20"/>
        </w:rPr>
        <w:t>issue</w:t>
      </w:r>
      <w:r w:rsidR="008E234F" w:rsidRPr="00DA6C0E">
        <w:rPr>
          <w:rFonts w:ascii="Arial" w:hAnsi="Arial" w:cs="Arial"/>
          <w:b/>
          <w:color w:val="010000"/>
          <w:sz w:val="20"/>
        </w:rPr>
        <w:t xml:space="preserve"> </w:t>
      </w:r>
      <w:r>
        <w:rPr>
          <w:rFonts w:ascii="Arial" w:hAnsi="Arial" w:cs="Arial"/>
          <w:b/>
          <w:color w:val="010000"/>
          <w:sz w:val="20"/>
        </w:rPr>
        <w:t>for dividend payment</w:t>
      </w:r>
      <w:bookmarkStart w:id="0" w:name="_GoBack"/>
      <w:bookmarkEnd w:id="0"/>
    </w:p>
    <w:p w14:paraId="00000002" w14:textId="77777777" w:rsidR="00BE5297" w:rsidRPr="00DA6C0E" w:rsidRDefault="00356AD1" w:rsidP="002A59A5">
      <w:pPr>
        <w:pBdr>
          <w:top w:val="nil"/>
          <w:left w:val="nil"/>
          <w:bottom w:val="nil"/>
          <w:right w:val="nil"/>
          <w:between w:val="nil"/>
        </w:pBdr>
        <w:tabs>
          <w:tab w:val="left" w:pos="435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A6C0E">
        <w:rPr>
          <w:rFonts w:ascii="Arial" w:hAnsi="Arial" w:cs="Arial"/>
          <w:color w:val="010000"/>
          <w:sz w:val="20"/>
        </w:rPr>
        <w:t xml:space="preserve">On December 26, 2023, Thang Long Investment Group Joint Stock Company announced Official Dispatch as follows: </w:t>
      </w:r>
    </w:p>
    <w:p w14:paraId="4EA5ABC4" w14:textId="3DE53A48" w:rsidR="00356AD1" w:rsidRPr="00DA6C0E" w:rsidRDefault="00356AD1" w:rsidP="002A59A5">
      <w:pPr>
        <w:pBdr>
          <w:top w:val="nil"/>
          <w:left w:val="nil"/>
          <w:bottom w:val="nil"/>
          <w:right w:val="nil"/>
          <w:between w:val="nil"/>
        </w:pBdr>
        <w:tabs>
          <w:tab w:val="left" w:pos="2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A6C0E">
        <w:rPr>
          <w:rFonts w:ascii="Arial" w:hAnsi="Arial" w:cs="Arial"/>
          <w:color w:val="010000"/>
          <w:sz w:val="20"/>
        </w:rPr>
        <w:t>On December 25, 2023, TIG received Document No. 9286/UBCK-QLCB from the State Securities Commissio</w:t>
      </w:r>
      <w:r w:rsidR="008E234F" w:rsidRPr="00DA6C0E">
        <w:rPr>
          <w:rFonts w:ascii="Arial" w:hAnsi="Arial" w:cs="Arial"/>
          <w:color w:val="010000"/>
          <w:sz w:val="20"/>
        </w:rPr>
        <w:t xml:space="preserve">n (SSC) on </w:t>
      </w:r>
      <w:r w:rsidR="00DA6C0E" w:rsidRPr="00DA6C0E">
        <w:rPr>
          <w:rFonts w:ascii="Arial" w:hAnsi="Arial" w:cs="Arial"/>
          <w:color w:val="010000"/>
          <w:sz w:val="20"/>
        </w:rPr>
        <w:t xml:space="preserve">the </w:t>
      </w:r>
      <w:r w:rsidR="008E234F" w:rsidRPr="00DA6C0E">
        <w:rPr>
          <w:rFonts w:ascii="Arial" w:hAnsi="Arial" w:cs="Arial"/>
          <w:color w:val="010000"/>
          <w:sz w:val="20"/>
        </w:rPr>
        <w:t xml:space="preserve">SSC having received </w:t>
      </w:r>
      <w:r w:rsidR="00DA6C0E" w:rsidRPr="00DA6C0E">
        <w:rPr>
          <w:rFonts w:ascii="Arial" w:hAnsi="Arial" w:cs="Arial"/>
          <w:color w:val="010000"/>
          <w:sz w:val="20"/>
        </w:rPr>
        <w:t xml:space="preserve">the </w:t>
      </w:r>
      <w:r w:rsidR="008E234F" w:rsidRPr="00DA6C0E">
        <w:rPr>
          <w:rFonts w:ascii="Arial" w:hAnsi="Arial" w:cs="Arial"/>
          <w:color w:val="010000"/>
          <w:sz w:val="20"/>
        </w:rPr>
        <w:t xml:space="preserve">Report on the share </w:t>
      </w:r>
      <w:r w:rsidR="002A59A5">
        <w:rPr>
          <w:rFonts w:ascii="Arial" w:hAnsi="Arial" w:cs="Arial"/>
          <w:color w:val="010000"/>
          <w:sz w:val="20"/>
        </w:rPr>
        <w:t>issue to pay dividend</w:t>
      </w:r>
      <w:r w:rsidR="008E234F" w:rsidRPr="00DA6C0E">
        <w:rPr>
          <w:rFonts w:ascii="Arial" w:hAnsi="Arial" w:cs="Arial"/>
          <w:color w:val="010000"/>
          <w:sz w:val="20"/>
        </w:rPr>
        <w:t xml:space="preserve"> </w:t>
      </w:r>
      <w:r w:rsidRPr="00DA6C0E">
        <w:rPr>
          <w:rFonts w:ascii="Arial" w:hAnsi="Arial" w:cs="Arial"/>
          <w:color w:val="010000"/>
          <w:sz w:val="20"/>
        </w:rPr>
        <w:t>No. 125/2023/BC-TIG dated December 8, 2023</w:t>
      </w:r>
      <w:r w:rsidR="008E234F" w:rsidRPr="00DA6C0E">
        <w:rPr>
          <w:rFonts w:ascii="Arial" w:hAnsi="Arial" w:cs="Arial"/>
          <w:color w:val="010000"/>
          <w:sz w:val="20"/>
        </w:rPr>
        <w:t xml:space="preserve"> of</w:t>
      </w:r>
      <w:r w:rsidRPr="00DA6C0E">
        <w:rPr>
          <w:rFonts w:ascii="Arial" w:hAnsi="Arial" w:cs="Arial"/>
          <w:color w:val="010000"/>
          <w:sz w:val="20"/>
        </w:rPr>
        <w:t xml:space="preserve"> TIG, and supplementary documents dated December 20, 2023, </w:t>
      </w:r>
      <w:r w:rsidR="008E234F" w:rsidRPr="00DA6C0E">
        <w:rPr>
          <w:rFonts w:ascii="Arial" w:hAnsi="Arial" w:cs="Arial"/>
          <w:color w:val="010000"/>
          <w:sz w:val="20"/>
        </w:rPr>
        <w:t>according to</w:t>
      </w:r>
      <w:r w:rsidRPr="00DA6C0E">
        <w:rPr>
          <w:rFonts w:ascii="Arial" w:hAnsi="Arial" w:cs="Arial"/>
          <w:color w:val="010000"/>
          <w:sz w:val="20"/>
        </w:rPr>
        <w:t xml:space="preserve"> Official Dispatch No. 1812/2023/CV-TIG dated December 18, 2023. According</w:t>
      </w:r>
      <w:r w:rsidR="008E234F" w:rsidRPr="00DA6C0E">
        <w:rPr>
          <w:rFonts w:ascii="Arial" w:hAnsi="Arial" w:cs="Arial"/>
          <w:color w:val="010000"/>
          <w:sz w:val="20"/>
        </w:rPr>
        <w:t>ly</w:t>
      </w:r>
      <w:r w:rsidRPr="00DA6C0E">
        <w:rPr>
          <w:rFonts w:ascii="Arial" w:hAnsi="Arial" w:cs="Arial"/>
          <w:color w:val="010000"/>
          <w:sz w:val="20"/>
        </w:rPr>
        <w:t>, TIG has distributed 17,599,720 shares for dividend payment (accounting for 99.99% of the total shares</w:t>
      </w:r>
      <w:r w:rsidR="008E234F" w:rsidRPr="00DA6C0E">
        <w:rPr>
          <w:rFonts w:ascii="Arial" w:hAnsi="Arial" w:cs="Arial"/>
          <w:color w:val="010000"/>
          <w:sz w:val="20"/>
        </w:rPr>
        <w:t xml:space="preserve"> registered</w:t>
      </w:r>
      <w:r w:rsidRPr="00DA6C0E">
        <w:rPr>
          <w:rFonts w:ascii="Arial" w:hAnsi="Arial" w:cs="Arial"/>
          <w:color w:val="010000"/>
          <w:sz w:val="20"/>
        </w:rPr>
        <w:t xml:space="preserve"> for </w:t>
      </w:r>
      <w:r w:rsidR="002A59A5">
        <w:rPr>
          <w:rFonts w:ascii="Arial" w:hAnsi="Arial" w:cs="Arial"/>
          <w:color w:val="010000"/>
          <w:sz w:val="20"/>
        </w:rPr>
        <w:t>issue</w:t>
      </w:r>
      <w:r w:rsidRPr="00DA6C0E">
        <w:rPr>
          <w:rFonts w:ascii="Arial" w:hAnsi="Arial" w:cs="Arial"/>
          <w:color w:val="010000"/>
          <w:sz w:val="20"/>
        </w:rPr>
        <w:t>).</w:t>
      </w:r>
    </w:p>
    <w:sectPr w:rsidR="00356AD1" w:rsidRPr="00DA6C0E" w:rsidSect="00356AD1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516D"/>
    <w:multiLevelType w:val="multilevel"/>
    <w:tmpl w:val="5F4EC9C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297"/>
    <w:rsid w:val="002A59A5"/>
    <w:rsid w:val="00356AD1"/>
    <w:rsid w:val="007E2433"/>
    <w:rsid w:val="008E234F"/>
    <w:rsid w:val="00BE5297"/>
    <w:rsid w:val="00DA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953F1A"/>
  <w15:docId w15:val="{16460F67-6AE8-455B-8F61-48440075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Gy1Jw2w0M5R/0WkSPPZNsh6pmg==">CgMxLjA4AHIhMURhM0UzcXNPaHJYektMS2RJRGh6Qk1sQ0VyZjFZX2h0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2023-12-29T03:39:00Z</dcterms:created>
  <dcterms:modified xsi:type="dcterms:W3CDTF">2023-12-29T03:39:00Z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54a70f559fcc1790440117951029cd6411770de884bfcf17da2928c9610dabd1</vt:lpwstr>
  </property>
</Properties>
</file>