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5DAB" w:rsidRPr="007C4DD8" w:rsidRDefault="00433AAC" w:rsidP="00B822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C4DD8">
        <w:rPr>
          <w:rFonts w:ascii="Arial" w:hAnsi="Arial" w:cs="Arial"/>
          <w:b/>
          <w:color w:val="010000"/>
          <w:sz w:val="20"/>
        </w:rPr>
        <w:t>DSD: Board Resolution</w:t>
      </w:r>
    </w:p>
    <w:p w14:paraId="00000002" w14:textId="77777777" w:rsidR="00955DAB" w:rsidRPr="007C4DD8" w:rsidRDefault="00433AAC" w:rsidP="00B822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 xml:space="preserve">On November 30, 2023, DHC </w:t>
      </w:r>
      <w:proofErr w:type="spellStart"/>
      <w:r w:rsidRPr="007C4DD8">
        <w:rPr>
          <w:rFonts w:ascii="Arial" w:hAnsi="Arial" w:cs="Arial"/>
          <w:color w:val="010000"/>
          <w:sz w:val="20"/>
        </w:rPr>
        <w:t>Suoi</w:t>
      </w:r>
      <w:proofErr w:type="spellEnd"/>
      <w:r w:rsidRPr="007C4DD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4DD8">
        <w:rPr>
          <w:rFonts w:ascii="Arial" w:hAnsi="Arial" w:cs="Arial"/>
          <w:color w:val="010000"/>
          <w:sz w:val="20"/>
        </w:rPr>
        <w:t>Doi</w:t>
      </w:r>
      <w:proofErr w:type="spellEnd"/>
      <w:r w:rsidRPr="007C4DD8">
        <w:rPr>
          <w:rFonts w:ascii="Arial" w:hAnsi="Arial" w:cs="Arial"/>
          <w:color w:val="010000"/>
          <w:sz w:val="20"/>
        </w:rPr>
        <w:t xml:space="preserve"> Corporation announced Resolution No. 307/2023/NQ-HDQT-DHCSD on recording the list of shareholders attending the Extraordinary General Meeting of Shareholders 2024, as follows: </w:t>
      </w:r>
    </w:p>
    <w:p w14:paraId="00000003" w14:textId="3CBCF0AB" w:rsidR="00955DAB" w:rsidRPr="007C4DD8" w:rsidRDefault="00433AAC" w:rsidP="00B822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 xml:space="preserve">Article 1: Approve the plan to organize and </w:t>
      </w:r>
      <w:r w:rsidR="00036AC1" w:rsidRPr="007C4DD8">
        <w:rPr>
          <w:rFonts w:ascii="Arial" w:hAnsi="Arial" w:cs="Arial"/>
          <w:color w:val="010000"/>
          <w:sz w:val="20"/>
        </w:rPr>
        <w:t xml:space="preserve">the </w:t>
      </w:r>
      <w:r w:rsidRPr="007C4DD8">
        <w:rPr>
          <w:rFonts w:ascii="Arial" w:hAnsi="Arial" w:cs="Arial"/>
          <w:color w:val="010000"/>
          <w:sz w:val="20"/>
        </w:rPr>
        <w:t>recording</w:t>
      </w:r>
      <w:r w:rsidR="00036AC1" w:rsidRPr="007C4DD8">
        <w:rPr>
          <w:rFonts w:ascii="Arial" w:hAnsi="Arial" w:cs="Arial"/>
          <w:color w:val="010000"/>
          <w:sz w:val="20"/>
        </w:rPr>
        <w:t xml:space="preserve"> of</w:t>
      </w:r>
      <w:r w:rsidRPr="007C4DD8">
        <w:rPr>
          <w:rFonts w:ascii="Arial" w:hAnsi="Arial" w:cs="Arial"/>
          <w:color w:val="010000"/>
          <w:sz w:val="20"/>
        </w:rPr>
        <w:t xml:space="preserve"> the list of shareholders with the rights to attend the Extraordinary General Meeting of Shareholders 2024 of DHC </w:t>
      </w:r>
      <w:proofErr w:type="spellStart"/>
      <w:r w:rsidRPr="007C4DD8">
        <w:rPr>
          <w:rFonts w:ascii="Arial" w:hAnsi="Arial" w:cs="Arial"/>
          <w:color w:val="010000"/>
          <w:sz w:val="20"/>
        </w:rPr>
        <w:t>Suoi</w:t>
      </w:r>
      <w:proofErr w:type="spellEnd"/>
      <w:r w:rsidRPr="007C4DD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4DD8">
        <w:rPr>
          <w:rFonts w:ascii="Arial" w:hAnsi="Arial" w:cs="Arial"/>
          <w:color w:val="010000"/>
          <w:sz w:val="20"/>
        </w:rPr>
        <w:t>Doi</w:t>
      </w:r>
      <w:proofErr w:type="spellEnd"/>
      <w:r w:rsidRPr="007C4DD8">
        <w:rPr>
          <w:rFonts w:ascii="Arial" w:hAnsi="Arial" w:cs="Arial"/>
          <w:color w:val="010000"/>
          <w:sz w:val="20"/>
        </w:rPr>
        <w:t xml:space="preserve"> with the following specific contents:</w:t>
      </w:r>
    </w:p>
    <w:p w14:paraId="00000004" w14:textId="1BE11152" w:rsidR="00955DAB" w:rsidRPr="007C4DD8" w:rsidRDefault="00433AAC" w:rsidP="00B8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Record date: Expected on December 21, 2023</w:t>
      </w:r>
    </w:p>
    <w:p w14:paraId="00000005" w14:textId="77777777" w:rsidR="00955DAB" w:rsidRPr="007C4DD8" w:rsidRDefault="00433AAC" w:rsidP="00B8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Expected meeting time: January 17, 2024</w:t>
      </w:r>
    </w:p>
    <w:p w14:paraId="00000006" w14:textId="77777777" w:rsidR="00955DAB" w:rsidRPr="007C4DD8" w:rsidRDefault="00433AAC" w:rsidP="00B8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Expected venue: Meeting room of Than Tai Mountain Mineral Springs Park</w:t>
      </w:r>
    </w:p>
    <w:p w14:paraId="00000007" w14:textId="51544214" w:rsidR="00955DAB" w:rsidRPr="007C4DD8" w:rsidRDefault="00433AAC" w:rsidP="00B8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Specific time and location: Details in the Invitation Notice.</w:t>
      </w:r>
    </w:p>
    <w:p w14:paraId="00000008" w14:textId="77777777" w:rsidR="00955DAB" w:rsidRPr="007C4DD8" w:rsidRDefault="00433AAC" w:rsidP="00B82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Meeting contents:</w:t>
      </w:r>
    </w:p>
    <w:p w14:paraId="00000009" w14:textId="696D2C41" w:rsidR="00955DAB" w:rsidRPr="007C4DD8" w:rsidRDefault="00433AAC" w:rsidP="00B82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Approve the Plan to increase charter capital through the private placement in 2024.</w:t>
      </w:r>
    </w:p>
    <w:p w14:paraId="0000000A" w14:textId="77777777" w:rsidR="00955DAB" w:rsidRPr="007C4DD8" w:rsidRDefault="00433AAC" w:rsidP="00B82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B" w14:textId="77777777" w:rsidR="00955DAB" w:rsidRPr="007C4DD8" w:rsidRDefault="00433AAC" w:rsidP="00B822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 xml:space="preserve">Article 2: Members of the Board of Directors, the Board of Managers, departments and related individuals of DHC </w:t>
      </w:r>
      <w:proofErr w:type="spellStart"/>
      <w:r w:rsidRPr="007C4DD8">
        <w:rPr>
          <w:rFonts w:ascii="Arial" w:hAnsi="Arial" w:cs="Arial"/>
          <w:color w:val="010000"/>
          <w:sz w:val="20"/>
        </w:rPr>
        <w:t>Suoi</w:t>
      </w:r>
      <w:proofErr w:type="spellEnd"/>
      <w:r w:rsidRPr="007C4DD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4DD8">
        <w:rPr>
          <w:rFonts w:ascii="Arial" w:hAnsi="Arial" w:cs="Arial"/>
          <w:color w:val="010000"/>
          <w:sz w:val="20"/>
        </w:rPr>
        <w:t>Doi</w:t>
      </w:r>
      <w:proofErr w:type="spellEnd"/>
      <w:r w:rsidRPr="007C4DD8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p w14:paraId="0000000C" w14:textId="77777777" w:rsidR="00955DAB" w:rsidRPr="007C4DD8" w:rsidRDefault="00433AAC" w:rsidP="00B822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4DD8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sectPr w:rsidR="00955DAB" w:rsidRPr="007C4DD8" w:rsidSect="00B822F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00ED"/>
    <w:multiLevelType w:val="multilevel"/>
    <w:tmpl w:val="5AAABA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71D6"/>
    <w:multiLevelType w:val="multilevel"/>
    <w:tmpl w:val="BE181D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AB"/>
    <w:rsid w:val="00036AC1"/>
    <w:rsid w:val="00433AAC"/>
    <w:rsid w:val="0059305D"/>
    <w:rsid w:val="007C4DD8"/>
    <w:rsid w:val="00955DAB"/>
    <w:rsid w:val="00B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9F86"/>
  <w15:docId w15:val="{D7501D45-89E8-4446-873F-8C712C3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Arial" w:eastAsia="Arial" w:hAnsi="Arial" w:cs="Arial"/>
      <w:b/>
      <w:bCs/>
      <w:sz w:val="9"/>
      <w:szCs w:val="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25wBCo8txxVZmOuq8dJYhhNMg==">CgMxLjA4AHIhMTlTXzQ5UmFxcDFRb25mbFBKbldRWHprVGxpN1ByeXlq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NguyÅn H£i</dc:creator>
  <cp:lastModifiedBy>Nguyen Thi Thu Giang</cp:lastModifiedBy>
  <cp:revision>2</cp:revision>
  <dcterms:created xsi:type="dcterms:W3CDTF">2023-12-05T03:38:00Z</dcterms:created>
  <dcterms:modified xsi:type="dcterms:W3CDTF">2023-12-05T03:38:00Z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a8e705345c1d6d7b55c011d2ff9757e528025c9f5243121780efbb057f099daa</vt:lpwstr>
  </property>
</Properties>
</file>