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2033C" w:rsidRPr="00C73B13" w:rsidRDefault="00DC2F55" w:rsidP="00DC2F5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71"/>
          <w:tab w:val="left" w:pos="5373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C73B13">
        <w:rPr>
          <w:rFonts w:ascii="Arial" w:hAnsi="Arial" w:cs="Arial"/>
          <w:b/>
          <w:color w:val="010000"/>
          <w:sz w:val="20"/>
        </w:rPr>
        <w:t>FOX: FPT Telecom announced the issuance of shares to pay dividends</w:t>
      </w:r>
    </w:p>
    <w:p w14:paraId="00000002" w14:textId="77777777" w:rsidR="00D2033C" w:rsidRPr="00C73B13" w:rsidRDefault="00DC2F55" w:rsidP="00DC2F5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3B13">
        <w:rPr>
          <w:rFonts w:ascii="Arial" w:hAnsi="Arial" w:cs="Arial"/>
          <w:color w:val="010000"/>
          <w:sz w:val="20"/>
        </w:rPr>
        <w:t>On October 06, 2023, FPT Telecom Joint Stock Company announced Notice No. 1029/FPT on the share issuance to pay dividends and increase share capital from owners’ equity as follows:</w:t>
      </w:r>
    </w:p>
    <w:p w14:paraId="00000003" w14:textId="77777777" w:rsidR="00D2033C" w:rsidRPr="00C73B13" w:rsidRDefault="00DC2F55" w:rsidP="00DC2F5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73B13">
        <w:rPr>
          <w:rFonts w:ascii="Arial" w:hAnsi="Arial" w:cs="Arial"/>
          <w:color w:val="010000"/>
          <w:sz w:val="20"/>
        </w:rPr>
        <w:t>Plan of issuance</w:t>
      </w:r>
    </w:p>
    <w:p w14:paraId="00000004" w14:textId="77777777" w:rsidR="00D2033C" w:rsidRPr="00C73B13" w:rsidRDefault="00DC2F55" w:rsidP="00DC2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3B13">
        <w:rPr>
          <w:rFonts w:ascii="Arial" w:hAnsi="Arial" w:cs="Arial"/>
          <w:color w:val="010000"/>
          <w:sz w:val="20"/>
        </w:rPr>
        <w:t>Name of share: FOX</w:t>
      </w:r>
    </w:p>
    <w:p w14:paraId="00000005" w14:textId="77777777" w:rsidR="00D2033C" w:rsidRPr="00C73B13" w:rsidRDefault="00DC2F55" w:rsidP="00DC2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3B13">
        <w:rPr>
          <w:rFonts w:ascii="Arial" w:hAnsi="Arial" w:cs="Arial"/>
          <w:color w:val="010000"/>
          <w:sz w:val="20"/>
        </w:rPr>
        <w:t>Type of share: Common shares</w:t>
      </w:r>
    </w:p>
    <w:p w14:paraId="00000006" w14:textId="77777777" w:rsidR="00D2033C" w:rsidRPr="00C73B13" w:rsidRDefault="00DC2F55" w:rsidP="00DC2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3B13">
        <w:rPr>
          <w:rFonts w:ascii="Arial" w:hAnsi="Arial" w:cs="Arial"/>
          <w:color w:val="010000"/>
          <w:sz w:val="20"/>
        </w:rPr>
        <w:t>Total number of issued shares: 328,339,938 shares.</w:t>
      </w:r>
    </w:p>
    <w:p w14:paraId="00000007" w14:textId="77777777" w:rsidR="00D2033C" w:rsidRPr="00C73B13" w:rsidRDefault="00DC2F55" w:rsidP="00DC2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3B13">
        <w:rPr>
          <w:rFonts w:ascii="Arial" w:hAnsi="Arial" w:cs="Arial"/>
          <w:color w:val="010000"/>
          <w:sz w:val="20"/>
        </w:rPr>
        <w:t>Number of outstanding shares: 328,339,938 shares.</w:t>
      </w:r>
    </w:p>
    <w:p w14:paraId="00000008" w14:textId="77777777" w:rsidR="00D2033C" w:rsidRPr="00C73B13" w:rsidRDefault="00DC2F55" w:rsidP="00DC2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3B13">
        <w:rPr>
          <w:rFonts w:ascii="Arial" w:hAnsi="Arial" w:cs="Arial"/>
          <w:color w:val="010000"/>
          <w:sz w:val="20"/>
        </w:rPr>
        <w:t>Number of treasury shares: 0 shares.</w:t>
      </w:r>
    </w:p>
    <w:p w14:paraId="00000009" w14:textId="77777777" w:rsidR="00D2033C" w:rsidRPr="00C73B13" w:rsidRDefault="00DC2F55" w:rsidP="00DC2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3B13">
        <w:rPr>
          <w:rFonts w:ascii="Arial" w:hAnsi="Arial" w:cs="Arial"/>
          <w:color w:val="010000"/>
          <w:sz w:val="20"/>
        </w:rPr>
        <w:t>Number of shares expected to be issued: 164,169,769 shares.</w:t>
      </w:r>
    </w:p>
    <w:p w14:paraId="0000000A" w14:textId="77777777" w:rsidR="00D2033C" w:rsidRPr="00C73B13" w:rsidRDefault="00DC2F55" w:rsidP="00DC2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3B13">
        <w:rPr>
          <w:rFonts w:ascii="Arial" w:hAnsi="Arial" w:cs="Arial"/>
          <w:color w:val="010000"/>
          <w:sz w:val="20"/>
        </w:rPr>
        <w:t>Total issuance value at par value: VND 1,641,697,690,000.</w:t>
      </w:r>
    </w:p>
    <w:p w14:paraId="0000000B" w14:textId="59A52ED3" w:rsidR="00D2033C" w:rsidRPr="00C73B13" w:rsidRDefault="00DC2F55" w:rsidP="00DC2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3B13">
        <w:rPr>
          <w:rFonts w:ascii="Arial" w:hAnsi="Arial" w:cs="Arial"/>
          <w:color w:val="010000"/>
          <w:sz w:val="20"/>
        </w:rPr>
        <w:t>Rate of rights exercise: 2:1 (shareholders owning 02 shares will receive 01 new share).</w:t>
      </w:r>
    </w:p>
    <w:p w14:paraId="0000000C" w14:textId="2C5B797C" w:rsidR="00D2033C" w:rsidRPr="00C73B13" w:rsidRDefault="00DC2F55" w:rsidP="00DC2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3B13">
        <w:rPr>
          <w:rFonts w:ascii="Arial" w:hAnsi="Arial" w:cs="Arial"/>
          <w:color w:val="010000"/>
          <w:sz w:val="20"/>
        </w:rPr>
        <w:t>Capital source for the issuance: development investment fund, undistributed profit after tax in the Consolidated Financial Statements</w:t>
      </w:r>
      <w:r w:rsidR="00C73B13" w:rsidRPr="00C73B13">
        <w:rPr>
          <w:rFonts w:ascii="Arial" w:hAnsi="Arial" w:cs="Arial"/>
          <w:color w:val="010000"/>
          <w:sz w:val="20"/>
        </w:rPr>
        <w:t xml:space="preserve"> </w:t>
      </w:r>
      <w:r w:rsidR="00C73B13" w:rsidRPr="00C73B13">
        <w:rPr>
          <w:rFonts w:ascii="Arial" w:hAnsi="Arial" w:cs="Arial"/>
          <w:color w:val="010000"/>
          <w:sz w:val="20"/>
        </w:rPr>
        <w:t>2022</w:t>
      </w:r>
      <w:r w:rsidRPr="00C73B13">
        <w:rPr>
          <w:rFonts w:ascii="Arial" w:hAnsi="Arial" w:cs="Arial"/>
          <w:color w:val="010000"/>
          <w:sz w:val="20"/>
        </w:rPr>
        <w:t>.</w:t>
      </w:r>
    </w:p>
    <w:p w14:paraId="0000000D" w14:textId="77777777" w:rsidR="00D2033C" w:rsidRPr="00C73B13" w:rsidRDefault="00DC2F55" w:rsidP="00DC2F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4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3B13">
        <w:rPr>
          <w:rFonts w:ascii="Arial" w:hAnsi="Arial" w:cs="Arial"/>
          <w:color w:val="010000"/>
          <w:sz w:val="20"/>
        </w:rPr>
        <w:t>Investment and development fund: VND 70,000,000,000</w:t>
      </w:r>
    </w:p>
    <w:p w14:paraId="0000000E" w14:textId="77777777" w:rsidR="00D2033C" w:rsidRPr="00C73B13" w:rsidRDefault="00DC2F55" w:rsidP="00DC2F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4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3B13">
        <w:rPr>
          <w:rFonts w:ascii="Arial" w:hAnsi="Arial" w:cs="Arial"/>
          <w:color w:val="010000"/>
          <w:sz w:val="20"/>
        </w:rPr>
        <w:t>Undistributed profit after tax: VND 1,571,697,690,000</w:t>
      </w:r>
    </w:p>
    <w:p w14:paraId="0000000F" w14:textId="3E5431EE" w:rsidR="00D2033C" w:rsidRPr="00C73B13" w:rsidRDefault="00DC2F55" w:rsidP="00DC2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3B13">
        <w:rPr>
          <w:rFonts w:ascii="Arial" w:hAnsi="Arial" w:cs="Arial"/>
          <w:color w:val="010000"/>
          <w:sz w:val="20"/>
        </w:rPr>
        <w:t xml:space="preserve">Plan to handle decimal places, fractional shares: the number of new shares issued for dividend payment which each shareholder </w:t>
      </w:r>
      <w:r w:rsidR="00C73B13" w:rsidRPr="00C73B13">
        <w:rPr>
          <w:rFonts w:ascii="Arial" w:hAnsi="Arial" w:cs="Arial"/>
          <w:color w:val="010000"/>
          <w:sz w:val="20"/>
        </w:rPr>
        <w:t>receives</w:t>
      </w:r>
      <w:r w:rsidRPr="00C73B13">
        <w:rPr>
          <w:rFonts w:ascii="Arial" w:hAnsi="Arial" w:cs="Arial"/>
          <w:color w:val="010000"/>
          <w:sz w:val="20"/>
        </w:rPr>
        <w:t xml:space="preserve"> will be rounded to the nearest unit according to the rounding down principle. The fraction shares (if any) will be disposed</w:t>
      </w:r>
      <w:r w:rsidR="00C73B13" w:rsidRPr="00C73B13">
        <w:rPr>
          <w:rFonts w:ascii="Arial" w:hAnsi="Arial" w:cs="Arial"/>
          <w:color w:val="010000"/>
          <w:sz w:val="20"/>
        </w:rPr>
        <w:t xml:space="preserve"> of</w:t>
      </w:r>
      <w:r w:rsidRPr="00C73B13">
        <w:rPr>
          <w:rFonts w:ascii="Arial" w:hAnsi="Arial" w:cs="Arial"/>
          <w:color w:val="010000"/>
          <w:sz w:val="20"/>
        </w:rPr>
        <w:t>.</w:t>
      </w:r>
    </w:p>
    <w:p w14:paraId="00000010" w14:textId="0FA6CF1A" w:rsidR="00D2033C" w:rsidRPr="00C73B13" w:rsidRDefault="00DC2F55" w:rsidP="00DC2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D2033C" w:rsidRPr="00C73B13" w:rsidSect="00DC2F55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C73B13">
        <w:rPr>
          <w:rFonts w:ascii="Arial" w:hAnsi="Arial" w:cs="Arial"/>
          <w:color w:val="010000"/>
          <w:sz w:val="20"/>
        </w:rPr>
        <w:t xml:space="preserve">The record date </w:t>
      </w:r>
      <w:r w:rsidR="00C73B13">
        <w:rPr>
          <w:rFonts w:ascii="Arial" w:hAnsi="Arial" w:cs="Arial"/>
          <w:color w:val="010000"/>
          <w:sz w:val="20"/>
        </w:rPr>
        <w:t>for</w:t>
      </w:r>
      <w:r w:rsidRPr="00C73B13">
        <w:rPr>
          <w:rFonts w:ascii="Arial" w:hAnsi="Arial" w:cs="Arial"/>
          <w:color w:val="010000"/>
          <w:sz w:val="20"/>
        </w:rPr>
        <w:t xml:space="preserve"> the allocation of rights: October 20, 2023</w:t>
      </w:r>
    </w:p>
    <w:p w14:paraId="00000011" w14:textId="77777777" w:rsidR="00D2033C" w:rsidRPr="00C73B13" w:rsidRDefault="00D2033C" w:rsidP="00DC2F55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D2033C" w:rsidRPr="00C73B13" w:rsidSect="00DC2F55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729"/>
    <w:multiLevelType w:val="multilevel"/>
    <w:tmpl w:val="A9E427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C42AA6"/>
    <w:multiLevelType w:val="multilevel"/>
    <w:tmpl w:val="F1609BF4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14D13"/>
    <w:multiLevelType w:val="multilevel"/>
    <w:tmpl w:val="B83EBDB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33C"/>
    <w:rsid w:val="00C73B13"/>
    <w:rsid w:val="00D2033C"/>
    <w:rsid w:val="00D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594D5"/>
  <w15:docId w15:val="{E05D2D67-FA30-4A3A-AC67-11DC93D7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aqO7kuePvnxY9nUMQY3W2ZzfMQ==">CgMxLjA4AHIhMV9OY3d4bmlSQTBYUVc3aVFTeC1DbHN2VnFYemwwdEVK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1038</Characters>
  <Application>Microsoft Office Word</Application>
  <DocSecurity>0</DocSecurity>
  <Lines>20</Lines>
  <Paragraphs>18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2023-12-06T12:12:00Z</dcterms:created>
  <dcterms:modified xsi:type="dcterms:W3CDTF">2023-12-07T02:19:00Z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ad383cbe2efe5c69c360a0fc7791610b069e9d93b196f6351cb45a5179606afc</vt:lpwstr>
  </property>
</Properties>
</file>