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09677D8" w:rsidR="00F15B7C" w:rsidRPr="00DE14FA" w:rsidRDefault="00D1095F" w:rsidP="009704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E14FA">
        <w:rPr>
          <w:rFonts w:ascii="Arial" w:hAnsi="Arial" w:cs="Arial"/>
          <w:b/>
          <w:color w:val="010000"/>
          <w:sz w:val="20"/>
        </w:rPr>
        <w:t xml:space="preserve">KHL: </w:t>
      </w:r>
      <w:r w:rsidR="009704C4">
        <w:rPr>
          <w:rFonts w:ascii="Arial" w:hAnsi="Arial" w:cs="Arial"/>
          <w:b/>
          <w:color w:val="010000"/>
          <w:sz w:val="20"/>
        </w:rPr>
        <w:t>Annual</w:t>
      </w:r>
      <w:r w:rsidRPr="00DE14FA">
        <w:rPr>
          <w:rFonts w:ascii="Arial" w:hAnsi="Arial" w:cs="Arial"/>
          <w:b/>
          <w:color w:val="010000"/>
          <w:sz w:val="20"/>
        </w:rPr>
        <w:t xml:space="preserve"> General Mandate 2023</w:t>
      </w:r>
    </w:p>
    <w:p w14:paraId="00000002" w14:textId="6E5E8F26" w:rsidR="00F15B7C" w:rsidRPr="00DE14FA" w:rsidRDefault="00D1095F" w:rsidP="009704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4FA">
        <w:rPr>
          <w:rFonts w:ascii="Arial" w:hAnsi="Arial" w:cs="Arial"/>
          <w:color w:val="010000"/>
          <w:sz w:val="20"/>
        </w:rPr>
        <w:t xml:space="preserve">On </w:t>
      </w:r>
      <w:r w:rsidR="00DE14FA" w:rsidRPr="00DE14FA">
        <w:rPr>
          <w:rFonts w:ascii="Arial" w:hAnsi="Arial" w:cs="Arial"/>
          <w:color w:val="010000"/>
          <w:sz w:val="20"/>
        </w:rPr>
        <w:t>December 03</w:t>
      </w:r>
      <w:r w:rsidRPr="00DE14FA">
        <w:rPr>
          <w:rFonts w:ascii="Arial" w:hAnsi="Arial" w:cs="Arial"/>
          <w:color w:val="010000"/>
          <w:sz w:val="20"/>
        </w:rPr>
        <w:t>, 2023, Hung Long Mineral and Building Materials JSC announced General Mandate No. 01/2023/DHDCD-KHL as follows:</w:t>
      </w:r>
    </w:p>
    <w:p w14:paraId="00000003" w14:textId="628BDE25" w:rsidR="00F15B7C" w:rsidRDefault="00D1095F" w:rsidP="009704C4">
      <w:pPr>
        <w:pBdr>
          <w:top w:val="nil"/>
          <w:left w:val="nil"/>
          <w:bottom w:val="nil"/>
          <w:right w:val="nil"/>
          <w:between w:val="nil"/>
        </w:pBdr>
        <w:tabs>
          <w:tab w:val="left" w:pos="914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E14FA">
        <w:rPr>
          <w:rFonts w:ascii="Arial" w:hAnsi="Arial" w:cs="Arial"/>
          <w:color w:val="010000"/>
          <w:sz w:val="20"/>
        </w:rPr>
        <w:t>‎‎Article 1. Approve Proposal No. 01/2023/</w:t>
      </w:r>
      <w:proofErr w:type="spellStart"/>
      <w:r w:rsidRPr="00DE14FA">
        <w:rPr>
          <w:rFonts w:ascii="Arial" w:hAnsi="Arial" w:cs="Arial"/>
          <w:color w:val="010000"/>
          <w:sz w:val="20"/>
        </w:rPr>
        <w:t>TTr</w:t>
      </w:r>
      <w:proofErr w:type="spellEnd"/>
      <w:r w:rsidRPr="00DE14FA">
        <w:rPr>
          <w:rFonts w:ascii="Arial" w:hAnsi="Arial" w:cs="Arial"/>
          <w:color w:val="010000"/>
          <w:sz w:val="20"/>
        </w:rPr>
        <w:t>-KHL on the settlement of remuneration for the Boa</w:t>
      </w:r>
      <w:r w:rsidR="009704C4">
        <w:rPr>
          <w:rFonts w:ascii="Arial" w:hAnsi="Arial" w:cs="Arial"/>
          <w:color w:val="010000"/>
          <w:sz w:val="20"/>
        </w:rPr>
        <w:t xml:space="preserve">rd of Directors in 2022 and </w:t>
      </w:r>
      <w:r w:rsidRPr="00DE14FA">
        <w:rPr>
          <w:rFonts w:ascii="Arial" w:hAnsi="Arial" w:cs="Arial"/>
          <w:color w:val="010000"/>
          <w:sz w:val="20"/>
        </w:rPr>
        <w:t xml:space="preserve">plan for 2023 </w:t>
      </w:r>
    </w:p>
    <w:p w14:paraId="2AD62788" w14:textId="447A11C6" w:rsidR="009704C4" w:rsidRDefault="009704C4" w:rsidP="009704C4">
      <w:pPr>
        <w:pBdr>
          <w:top w:val="nil"/>
          <w:left w:val="nil"/>
          <w:bottom w:val="nil"/>
          <w:right w:val="nil"/>
          <w:between w:val="nil"/>
        </w:pBdr>
        <w:tabs>
          <w:tab w:val="left" w:pos="914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In 2022, the Company still focused on restructuring, handled unsolved financial issues and sought out new measures to bolster the Company’s business for the sake of profit to shareholders. As a results, the Board of Directors suggested no remunerations received for 2022.</w:t>
      </w:r>
    </w:p>
    <w:p w14:paraId="1A08B252" w14:textId="58C76421" w:rsidR="009704C4" w:rsidRDefault="009704C4" w:rsidP="009704C4">
      <w:pPr>
        <w:pBdr>
          <w:top w:val="nil"/>
          <w:left w:val="nil"/>
          <w:bottom w:val="nil"/>
          <w:right w:val="nil"/>
          <w:between w:val="nil"/>
        </w:pBdr>
        <w:tabs>
          <w:tab w:val="left" w:pos="914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According to the business plan 2023, the re</w:t>
      </w:r>
      <w:bookmarkStart w:id="0" w:name="_GoBack"/>
      <w:bookmarkEnd w:id="0"/>
      <w:r>
        <w:rPr>
          <w:rFonts w:ascii="Arial" w:hAnsi="Arial" w:cs="Arial"/>
          <w:color w:val="010000"/>
          <w:sz w:val="20"/>
        </w:rPr>
        <w:t>muneration for the Board of Directors is planned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704"/>
        <w:gridCol w:w="2255"/>
        <w:gridCol w:w="2255"/>
      </w:tblGrid>
      <w:tr w:rsidR="009704C4" w14:paraId="5757DC20" w14:textId="77777777" w:rsidTr="00851D9D">
        <w:tc>
          <w:tcPr>
            <w:tcW w:w="805" w:type="dxa"/>
            <w:vMerge w:val="restart"/>
          </w:tcPr>
          <w:p w14:paraId="6E001EB7" w14:textId="517DDFD1" w:rsidR="009704C4" w:rsidRPr="009704C4" w:rsidRDefault="009704C4" w:rsidP="009704C4">
            <w:pPr>
              <w:tabs>
                <w:tab w:val="left" w:pos="9149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9704C4"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  <w:t>No.</w:t>
            </w:r>
          </w:p>
        </w:tc>
        <w:tc>
          <w:tcPr>
            <w:tcW w:w="3704" w:type="dxa"/>
            <w:vMerge w:val="restart"/>
          </w:tcPr>
          <w:p w14:paraId="15A75323" w14:textId="40BB54BA" w:rsidR="009704C4" w:rsidRPr="009704C4" w:rsidRDefault="009704C4" w:rsidP="009704C4">
            <w:pPr>
              <w:tabs>
                <w:tab w:val="left" w:pos="9149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9704C4"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  <w:t>Title</w:t>
            </w:r>
          </w:p>
        </w:tc>
        <w:tc>
          <w:tcPr>
            <w:tcW w:w="4510" w:type="dxa"/>
            <w:gridSpan w:val="2"/>
          </w:tcPr>
          <w:p w14:paraId="0F7A067E" w14:textId="46D1331C" w:rsidR="009704C4" w:rsidRPr="009704C4" w:rsidRDefault="009704C4" w:rsidP="009704C4">
            <w:pPr>
              <w:tabs>
                <w:tab w:val="left" w:pos="9149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9704C4"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  <w:t>Total remuneration (VND/person)</w:t>
            </w:r>
          </w:p>
        </w:tc>
      </w:tr>
      <w:tr w:rsidR="009704C4" w14:paraId="071D7C32" w14:textId="77777777" w:rsidTr="009704C4">
        <w:tc>
          <w:tcPr>
            <w:tcW w:w="805" w:type="dxa"/>
            <w:vMerge/>
          </w:tcPr>
          <w:p w14:paraId="60A494FC" w14:textId="77777777" w:rsidR="009704C4" w:rsidRPr="009704C4" w:rsidRDefault="009704C4" w:rsidP="009704C4">
            <w:pPr>
              <w:tabs>
                <w:tab w:val="left" w:pos="9149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14:paraId="24F46DD3" w14:textId="77777777" w:rsidR="009704C4" w:rsidRPr="009704C4" w:rsidRDefault="009704C4" w:rsidP="009704C4">
            <w:pPr>
              <w:tabs>
                <w:tab w:val="left" w:pos="9149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2255" w:type="dxa"/>
          </w:tcPr>
          <w:p w14:paraId="50260F2B" w14:textId="2C130CF4" w:rsidR="009704C4" w:rsidRPr="009704C4" w:rsidRDefault="009704C4" w:rsidP="009704C4">
            <w:pPr>
              <w:tabs>
                <w:tab w:val="left" w:pos="9149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9704C4"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  <w:t>Per month</w:t>
            </w:r>
          </w:p>
        </w:tc>
        <w:tc>
          <w:tcPr>
            <w:tcW w:w="2255" w:type="dxa"/>
          </w:tcPr>
          <w:p w14:paraId="5F20C474" w14:textId="1F6F90A0" w:rsidR="009704C4" w:rsidRPr="009704C4" w:rsidRDefault="009704C4" w:rsidP="009704C4">
            <w:pPr>
              <w:tabs>
                <w:tab w:val="left" w:pos="9149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9704C4"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  <w:t>Per annum</w:t>
            </w:r>
          </w:p>
        </w:tc>
      </w:tr>
      <w:tr w:rsidR="009704C4" w14:paraId="028F8E21" w14:textId="77777777" w:rsidTr="009704C4">
        <w:tc>
          <w:tcPr>
            <w:tcW w:w="805" w:type="dxa"/>
          </w:tcPr>
          <w:p w14:paraId="11324CC7" w14:textId="160BFD27" w:rsidR="009704C4" w:rsidRDefault="009704C4" w:rsidP="009704C4">
            <w:pPr>
              <w:tabs>
                <w:tab w:val="left" w:pos="9149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14:paraId="51B83420" w14:textId="1DC6D47E" w:rsidR="009704C4" w:rsidRDefault="009704C4" w:rsidP="009704C4">
            <w:pPr>
              <w:tabs>
                <w:tab w:val="left" w:pos="9149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Chair of the Board of Directors</w:t>
            </w:r>
          </w:p>
        </w:tc>
        <w:tc>
          <w:tcPr>
            <w:tcW w:w="2255" w:type="dxa"/>
          </w:tcPr>
          <w:p w14:paraId="22B4948E" w14:textId="14E6CE24" w:rsidR="009704C4" w:rsidRDefault="009704C4" w:rsidP="009704C4">
            <w:pPr>
              <w:tabs>
                <w:tab w:val="left" w:pos="9149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5,000,000</w:t>
            </w:r>
          </w:p>
        </w:tc>
        <w:tc>
          <w:tcPr>
            <w:tcW w:w="2255" w:type="dxa"/>
          </w:tcPr>
          <w:p w14:paraId="04B3D8C4" w14:textId="7F27E50A" w:rsidR="009704C4" w:rsidRDefault="009704C4" w:rsidP="009704C4">
            <w:pPr>
              <w:tabs>
                <w:tab w:val="left" w:pos="9149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60,000,000</w:t>
            </w:r>
          </w:p>
        </w:tc>
      </w:tr>
      <w:tr w:rsidR="009704C4" w14:paraId="572C3096" w14:textId="77777777" w:rsidTr="009704C4">
        <w:tc>
          <w:tcPr>
            <w:tcW w:w="805" w:type="dxa"/>
          </w:tcPr>
          <w:p w14:paraId="584C40EF" w14:textId="64FB8F64" w:rsidR="009704C4" w:rsidRDefault="009704C4" w:rsidP="009704C4">
            <w:pPr>
              <w:tabs>
                <w:tab w:val="left" w:pos="9149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14:paraId="0063EC78" w14:textId="44696CFE" w:rsidR="009704C4" w:rsidRDefault="009704C4" w:rsidP="009704C4">
            <w:pPr>
              <w:tabs>
                <w:tab w:val="left" w:pos="9149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Director</w:t>
            </w:r>
          </w:p>
        </w:tc>
        <w:tc>
          <w:tcPr>
            <w:tcW w:w="2255" w:type="dxa"/>
          </w:tcPr>
          <w:p w14:paraId="14736155" w14:textId="7DDC0E12" w:rsidR="009704C4" w:rsidRDefault="009704C4" w:rsidP="009704C4">
            <w:pPr>
              <w:tabs>
                <w:tab w:val="left" w:pos="9149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3,000,000</w:t>
            </w:r>
          </w:p>
        </w:tc>
        <w:tc>
          <w:tcPr>
            <w:tcW w:w="2255" w:type="dxa"/>
          </w:tcPr>
          <w:p w14:paraId="2969B407" w14:textId="2ED38BFC" w:rsidR="009704C4" w:rsidRDefault="009704C4" w:rsidP="009704C4">
            <w:pPr>
              <w:tabs>
                <w:tab w:val="left" w:pos="9149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36,000,000</w:t>
            </w:r>
          </w:p>
        </w:tc>
      </w:tr>
    </w:tbl>
    <w:p w14:paraId="745935B4" w14:textId="77777777" w:rsidR="009704C4" w:rsidRPr="00DE14FA" w:rsidRDefault="009704C4" w:rsidP="009704C4">
      <w:pPr>
        <w:pBdr>
          <w:top w:val="nil"/>
          <w:left w:val="nil"/>
          <w:bottom w:val="nil"/>
          <w:right w:val="nil"/>
          <w:between w:val="nil"/>
        </w:pBdr>
        <w:tabs>
          <w:tab w:val="left" w:pos="91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p w14:paraId="00000004" w14:textId="77777777" w:rsidR="00F15B7C" w:rsidRPr="00DE14FA" w:rsidRDefault="00D1095F" w:rsidP="009704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4FA">
        <w:rPr>
          <w:rFonts w:ascii="Arial" w:hAnsi="Arial" w:cs="Arial"/>
          <w:color w:val="010000"/>
          <w:sz w:val="20"/>
        </w:rPr>
        <w:t>‎‎Article 2. Approved Proposal No. 02/2023/</w:t>
      </w:r>
      <w:proofErr w:type="spellStart"/>
      <w:r w:rsidRPr="00DE14FA">
        <w:rPr>
          <w:rFonts w:ascii="Arial" w:hAnsi="Arial" w:cs="Arial"/>
          <w:color w:val="010000"/>
          <w:sz w:val="20"/>
        </w:rPr>
        <w:t>TTr</w:t>
      </w:r>
      <w:proofErr w:type="spellEnd"/>
      <w:r w:rsidRPr="00DE14FA">
        <w:rPr>
          <w:rFonts w:ascii="Arial" w:hAnsi="Arial" w:cs="Arial"/>
          <w:color w:val="010000"/>
          <w:sz w:val="20"/>
        </w:rPr>
        <w:t>-KHL on the dismissal and election of the Board of Directors for the term 2023-2028.</w:t>
      </w:r>
    </w:p>
    <w:p w14:paraId="00000005" w14:textId="77777777" w:rsidR="00F15B7C" w:rsidRPr="00DE14FA" w:rsidRDefault="00D1095F" w:rsidP="009704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4FA">
        <w:rPr>
          <w:rFonts w:ascii="Arial" w:hAnsi="Arial" w:cs="Arial"/>
          <w:color w:val="010000"/>
          <w:sz w:val="20"/>
        </w:rPr>
        <w:t xml:space="preserve">The Board of Directors held the first session and unanimously elected Mr. Nguyen </w:t>
      </w:r>
      <w:proofErr w:type="spellStart"/>
      <w:r w:rsidRPr="00DE14FA">
        <w:rPr>
          <w:rFonts w:ascii="Arial" w:hAnsi="Arial" w:cs="Arial"/>
          <w:color w:val="010000"/>
          <w:sz w:val="20"/>
        </w:rPr>
        <w:t>Nhat</w:t>
      </w:r>
      <w:proofErr w:type="spellEnd"/>
      <w:r w:rsidRPr="00DE14F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E14FA">
        <w:rPr>
          <w:rFonts w:ascii="Arial" w:hAnsi="Arial" w:cs="Arial"/>
          <w:color w:val="010000"/>
          <w:sz w:val="20"/>
        </w:rPr>
        <w:t>Khanh</w:t>
      </w:r>
      <w:proofErr w:type="spellEnd"/>
      <w:r w:rsidRPr="00DE14FA">
        <w:rPr>
          <w:rFonts w:ascii="Arial" w:hAnsi="Arial" w:cs="Arial"/>
          <w:color w:val="010000"/>
          <w:sz w:val="20"/>
        </w:rPr>
        <w:t xml:space="preserve"> as the Chair of the Board of Directors of the Company for the 2023-2028 term.</w:t>
      </w:r>
    </w:p>
    <w:p w14:paraId="00000006" w14:textId="77777777" w:rsidR="00F15B7C" w:rsidRPr="00DE14FA" w:rsidRDefault="00D1095F" w:rsidP="009704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4FA">
        <w:rPr>
          <w:rFonts w:ascii="Arial" w:hAnsi="Arial" w:cs="Arial"/>
          <w:color w:val="010000"/>
          <w:sz w:val="20"/>
        </w:rPr>
        <w:t>From December 3, 2023, the Board of Directors of the Company for the term 2023-2028 includes:</w:t>
      </w:r>
    </w:p>
    <w:p w14:paraId="00000007" w14:textId="77777777" w:rsidR="00F15B7C" w:rsidRPr="00DE14FA" w:rsidRDefault="00D1095F" w:rsidP="00970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4FA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DE14FA">
        <w:rPr>
          <w:rFonts w:ascii="Arial" w:hAnsi="Arial" w:cs="Arial"/>
          <w:color w:val="010000"/>
          <w:sz w:val="20"/>
        </w:rPr>
        <w:t>Nhat</w:t>
      </w:r>
      <w:proofErr w:type="spellEnd"/>
      <w:r w:rsidRPr="00DE14F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E14FA">
        <w:rPr>
          <w:rFonts w:ascii="Arial" w:hAnsi="Arial" w:cs="Arial"/>
          <w:color w:val="010000"/>
          <w:sz w:val="20"/>
        </w:rPr>
        <w:t>Khanh</w:t>
      </w:r>
      <w:proofErr w:type="spellEnd"/>
      <w:r w:rsidRPr="00DE14FA">
        <w:rPr>
          <w:rFonts w:ascii="Arial" w:hAnsi="Arial" w:cs="Arial"/>
          <w:color w:val="010000"/>
          <w:sz w:val="20"/>
        </w:rPr>
        <w:t xml:space="preserve"> - Chair of the Board of Directors</w:t>
      </w:r>
    </w:p>
    <w:p w14:paraId="00000008" w14:textId="77777777" w:rsidR="00F15B7C" w:rsidRPr="00DE14FA" w:rsidRDefault="00D1095F" w:rsidP="00970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4FA">
        <w:rPr>
          <w:rFonts w:ascii="Arial" w:hAnsi="Arial" w:cs="Arial"/>
          <w:color w:val="010000"/>
          <w:sz w:val="20"/>
        </w:rPr>
        <w:t>Mr. Le Van An - Member of the Board of Directors</w:t>
      </w:r>
    </w:p>
    <w:p w14:paraId="00000009" w14:textId="77777777" w:rsidR="00F15B7C" w:rsidRPr="00DE14FA" w:rsidRDefault="00D1095F" w:rsidP="00970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4FA">
        <w:rPr>
          <w:rFonts w:ascii="Arial" w:hAnsi="Arial" w:cs="Arial"/>
          <w:color w:val="010000"/>
          <w:sz w:val="20"/>
        </w:rPr>
        <w:t>Mr. Vu Hai Nam - Non-executive member of the Board of Directors</w:t>
      </w:r>
    </w:p>
    <w:p w14:paraId="0000000A" w14:textId="77777777" w:rsidR="00F15B7C" w:rsidRPr="00DE14FA" w:rsidRDefault="00D1095F" w:rsidP="00970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4FA">
        <w:rPr>
          <w:rFonts w:ascii="Arial" w:hAnsi="Arial" w:cs="Arial"/>
          <w:color w:val="010000"/>
          <w:sz w:val="20"/>
        </w:rPr>
        <w:t xml:space="preserve">Mr. Nguyen Mau </w:t>
      </w:r>
      <w:proofErr w:type="spellStart"/>
      <w:r w:rsidRPr="00DE14FA">
        <w:rPr>
          <w:rFonts w:ascii="Arial" w:hAnsi="Arial" w:cs="Arial"/>
          <w:color w:val="010000"/>
          <w:sz w:val="20"/>
        </w:rPr>
        <w:t>Bao</w:t>
      </w:r>
      <w:proofErr w:type="spellEnd"/>
      <w:r w:rsidRPr="00DE14F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E14FA">
        <w:rPr>
          <w:rFonts w:ascii="Arial" w:hAnsi="Arial" w:cs="Arial"/>
          <w:color w:val="010000"/>
          <w:sz w:val="20"/>
        </w:rPr>
        <w:t>Thien</w:t>
      </w:r>
      <w:proofErr w:type="spellEnd"/>
      <w:r w:rsidRPr="00DE14FA">
        <w:rPr>
          <w:rFonts w:ascii="Arial" w:hAnsi="Arial" w:cs="Arial"/>
          <w:color w:val="010000"/>
          <w:sz w:val="20"/>
        </w:rPr>
        <w:t xml:space="preserve"> - Independent member of the Board of Directors</w:t>
      </w:r>
    </w:p>
    <w:p w14:paraId="0000000B" w14:textId="58E52DF2" w:rsidR="00F15B7C" w:rsidRPr="00DE14FA" w:rsidRDefault="00D1095F" w:rsidP="009704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4FA">
        <w:rPr>
          <w:rFonts w:ascii="Arial" w:hAnsi="Arial" w:cs="Arial"/>
          <w:color w:val="010000"/>
          <w:sz w:val="20"/>
        </w:rPr>
        <w:t>Article 3. Approve Proposal No. 03/2023/</w:t>
      </w:r>
      <w:proofErr w:type="spellStart"/>
      <w:r w:rsidRPr="00DE14FA">
        <w:rPr>
          <w:rFonts w:ascii="Arial" w:hAnsi="Arial" w:cs="Arial"/>
          <w:color w:val="010000"/>
          <w:sz w:val="20"/>
        </w:rPr>
        <w:t>TTr</w:t>
      </w:r>
      <w:proofErr w:type="spellEnd"/>
      <w:r w:rsidRPr="00DE14FA">
        <w:rPr>
          <w:rFonts w:ascii="Arial" w:hAnsi="Arial" w:cs="Arial"/>
          <w:color w:val="010000"/>
          <w:sz w:val="20"/>
        </w:rPr>
        <w:t xml:space="preserve">-KHL on authorizing the Board of Directors to select the audit company for the </w:t>
      </w:r>
      <w:r w:rsidR="00DE14FA" w:rsidRPr="00DE14FA">
        <w:rPr>
          <w:rFonts w:ascii="Arial" w:hAnsi="Arial" w:cs="Arial"/>
          <w:color w:val="010000"/>
          <w:sz w:val="20"/>
        </w:rPr>
        <w:t>Financial Statements.</w:t>
      </w:r>
    </w:p>
    <w:p w14:paraId="0000000C" w14:textId="2B3976FA" w:rsidR="00F15B7C" w:rsidRPr="00DE14FA" w:rsidRDefault="00D1095F" w:rsidP="009704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4FA">
        <w:rPr>
          <w:rFonts w:ascii="Arial" w:hAnsi="Arial" w:cs="Arial"/>
          <w:color w:val="010000"/>
          <w:sz w:val="20"/>
        </w:rPr>
        <w:t>Article 4. Approve Proposal No. 04/2023/</w:t>
      </w:r>
      <w:proofErr w:type="spellStart"/>
      <w:r w:rsidRPr="00DE14FA">
        <w:rPr>
          <w:rFonts w:ascii="Arial" w:hAnsi="Arial" w:cs="Arial"/>
          <w:color w:val="010000"/>
          <w:sz w:val="20"/>
        </w:rPr>
        <w:t>TTr</w:t>
      </w:r>
      <w:proofErr w:type="spellEnd"/>
      <w:r w:rsidRPr="00DE14FA">
        <w:rPr>
          <w:rFonts w:ascii="Arial" w:hAnsi="Arial" w:cs="Arial"/>
          <w:color w:val="010000"/>
          <w:sz w:val="20"/>
        </w:rPr>
        <w:t>-KHL on the Company's operating direction in 2023.</w:t>
      </w:r>
    </w:p>
    <w:p w14:paraId="0000000D" w14:textId="26340D97" w:rsidR="00F15B7C" w:rsidRPr="00DE14FA" w:rsidRDefault="00D1095F" w:rsidP="009704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4FA">
        <w:rPr>
          <w:rFonts w:ascii="Arial" w:hAnsi="Arial" w:cs="Arial"/>
          <w:color w:val="010000"/>
          <w:sz w:val="20"/>
        </w:rPr>
        <w:t>Article 5. Approve to assign the new Board of Directors full authority to conduct asset inventory, review books, prepare</w:t>
      </w:r>
      <w:r w:rsidR="00DE14FA" w:rsidRPr="00DE14FA">
        <w:rPr>
          <w:rFonts w:ascii="Arial" w:hAnsi="Arial" w:cs="Arial"/>
          <w:color w:val="010000"/>
          <w:sz w:val="20"/>
        </w:rPr>
        <w:t xml:space="preserve"> Financial Statements</w:t>
      </w:r>
      <w:r w:rsidR="009704C4">
        <w:rPr>
          <w:rFonts w:ascii="Arial" w:hAnsi="Arial" w:cs="Arial"/>
          <w:color w:val="010000"/>
          <w:sz w:val="20"/>
        </w:rPr>
        <w:t>, make provisions</w:t>
      </w:r>
      <w:r w:rsidRPr="00DE14FA">
        <w:rPr>
          <w:rFonts w:ascii="Arial" w:hAnsi="Arial" w:cs="Arial"/>
          <w:color w:val="010000"/>
          <w:sz w:val="20"/>
        </w:rPr>
        <w:t xml:space="preserve"> and handle outstanding issues of the Company.</w:t>
      </w:r>
    </w:p>
    <w:p w14:paraId="0000000E" w14:textId="35FA16D9" w:rsidR="00F15B7C" w:rsidRPr="00DE14FA" w:rsidRDefault="00D1095F" w:rsidP="009704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4FA">
        <w:rPr>
          <w:rFonts w:ascii="Arial" w:hAnsi="Arial" w:cs="Arial"/>
          <w:color w:val="010000"/>
          <w:sz w:val="20"/>
        </w:rPr>
        <w:t xml:space="preserve">‎‎Article 6. Approve </w:t>
      </w:r>
      <w:r w:rsidR="00DE14FA" w:rsidRPr="00DE14FA">
        <w:rPr>
          <w:rFonts w:ascii="Arial" w:hAnsi="Arial" w:cs="Arial"/>
          <w:color w:val="010000"/>
          <w:sz w:val="20"/>
        </w:rPr>
        <w:t xml:space="preserve">the </w:t>
      </w:r>
      <w:r w:rsidRPr="00DE14FA">
        <w:rPr>
          <w:rFonts w:ascii="Arial" w:hAnsi="Arial" w:cs="Arial"/>
          <w:color w:val="010000"/>
          <w:sz w:val="20"/>
        </w:rPr>
        <w:t xml:space="preserve">authorization for the Board of Directors to decide on arising issues during the process of </w:t>
      </w:r>
      <w:r w:rsidR="00DE14FA" w:rsidRPr="00DE14FA">
        <w:rPr>
          <w:rFonts w:ascii="Arial" w:hAnsi="Arial" w:cs="Arial"/>
          <w:color w:val="010000"/>
          <w:sz w:val="20"/>
        </w:rPr>
        <w:t>implementing tasks</w:t>
      </w:r>
      <w:r w:rsidRPr="00DE14FA">
        <w:rPr>
          <w:rFonts w:ascii="Arial" w:hAnsi="Arial" w:cs="Arial"/>
          <w:color w:val="010000"/>
          <w:sz w:val="20"/>
        </w:rPr>
        <w:t xml:space="preserve"> approved by the General Meeting.</w:t>
      </w:r>
    </w:p>
    <w:p w14:paraId="0000000F" w14:textId="6773DA55" w:rsidR="00F15B7C" w:rsidRPr="00DE14FA" w:rsidRDefault="00D1095F" w:rsidP="009704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DE14FA">
        <w:rPr>
          <w:rFonts w:ascii="Arial" w:hAnsi="Arial" w:cs="Arial"/>
          <w:color w:val="010000"/>
          <w:sz w:val="20"/>
        </w:rPr>
        <w:t xml:space="preserve">‎‎Article 7. This </w:t>
      </w:r>
      <w:r w:rsidR="00DE14FA" w:rsidRPr="00DE14FA">
        <w:rPr>
          <w:rFonts w:ascii="Arial" w:hAnsi="Arial" w:cs="Arial"/>
          <w:color w:val="010000"/>
          <w:sz w:val="20"/>
        </w:rPr>
        <w:t xml:space="preserve">General Mandate </w:t>
      </w:r>
      <w:r w:rsidRPr="00DE14FA">
        <w:rPr>
          <w:rFonts w:ascii="Arial" w:hAnsi="Arial" w:cs="Arial"/>
          <w:color w:val="010000"/>
          <w:sz w:val="20"/>
        </w:rPr>
        <w:t xml:space="preserve">takes effect from the date of its signing. The Board of Directors, Audit Committee, </w:t>
      </w:r>
      <w:r w:rsidR="009704C4">
        <w:rPr>
          <w:rFonts w:ascii="Arial" w:hAnsi="Arial" w:cs="Arial"/>
          <w:color w:val="010000"/>
          <w:sz w:val="20"/>
        </w:rPr>
        <w:t>Executive Board</w:t>
      </w:r>
      <w:r w:rsidRPr="00DE14FA">
        <w:rPr>
          <w:rFonts w:ascii="Arial" w:hAnsi="Arial" w:cs="Arial"/>
          <w:color w:val="010000"/>
          <w:sz w:val="20"/>
        </w:rPr>
        <w:t xml:space="preserve"> of the Company and relevant departments and individuals are responsible for implementing this </w:t>
      </w:r>
      <w:r w:rsidR="00DE14FA" w:rsidRPr="00DE14FA">
        <w:rPr>
          <w:rFonts w:ascii="Arial" w:hAnsi="Arial" w:cs="Arial"/>
          <w:color w:val="010000"/>
          <w:sz w:val="20"/>
        </w:rPr>
        <w:t>General Mandate</w:t>
      </w:r>
      <w:r w:rsidRPr="00DE14FA">
        <w:rPr>
          <w:rFonts w:ascii="Arial" w:hAnsi="Arial" w:cs="Arial"/>
          <w:color w:val="010000"/>
          <w:sz w:val="20"/>
        </w:rPr>
        <w:t>.</w:t>
      </w:r>
    </w:p>
    <w:sectPr w:rsidR="00F15B7C" w:rsidRPr="00DE14FA" w:rsidSect="00D1095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728DC"/>
    <w:multiLevelType w:val="multilevel"/>
    <w:tmpl w:val="09E4B79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7C"/>
    <w:rsid w:val="00036212"/>
    <w:rsid w:val="009704C4"/>
    <w:rsid w:val="00D1095F"/>
    <w:rsid w:val="00DE14FA"/>
    <w:rsid w:val="00F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B941A"/>
  <w15:docId w15:val="{37900062-4079-4131-8453-B6DC94BD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7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2ubYcf28U+I0b1LxONgmYkLPpg==">CgMxLjAyCGguZ2pkZ3hzOAByITFmenZEU19yMWZONjF5Q2lOTjRLZVFFWlJNSGFyLUZsRA==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2023-12-08T02:20:00Z</dcterms:created>
  <dcterms:modified xsi:type="dcterms:W3CDTF">2023-12-08T02:20:00Z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77e25bb17ce2791fdd51925b6fbbbd05b0f55db5142715d9dfa8a225b48b4d46</vt:lpwstr>
  </property>
</Properties>
</file>