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D5B2A" w:rsidRPr="00BC22B3" w:rsidRDefault="00BC22B3" w:rsidP="0074389E">
      <w:pPr>
        <w:pBdr>
          <w:top w:val="nil"/>
          <w:left w:val="nil"/>
          <w:bottom w:val="nil"/>
          <w:right w:val="nil"/>
          <w:between w:val="nil"/>
        </w:pBdr>
        <w:tabs>
          <w:tab w:val="left" w:pos="360"/>
          <w:tab w:val="left" w:pos="450"/>
        </w:tabs>
        <w:spacing w:after="120" w:line="360" w:lineRule="auto"/>
        <w:rPr>
          <w:rFonts w:ascii="Arial" w:eastAsia="Arial" w:hAnsi="Arial" w:cs="Arial"/>
          <w:b/>
          <w:color w:val="010000"/>
          <w:sz w:val="20"/>
          <w:szCs w:val="20"/>
        </w:rPr>
      </w:pPr>
      <w:bookmarkStart w:id="0" w:name="_GoBack"/>
      <w:bookmarkEnd w:id="0"/>
      <w:r w:rsidRPr="00BC22B3">
        <w:rPr>
          <w:rFonts w:ascii="Arial" w:hAnsi="Arial" w:cs="Arial"/>
          <w:b/>
          <w:color w:val="010000"/>
          <w:sz w:val="20"/>
        </w:rPr>
        <w:t xml:space="preserve">BCA: Board Resolution </w:t>
      </w:r>
    </w:p>
    <w:p w14:paraId="00000002" w14:textId="4FD8B2D6" w:rsidR="002D5B2A" w:rsidRPr="00BC22B3" w:rsidRDefault="00BC22B3" w:rsidP="0074389E">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BC22B3">
        <w:rPr>
          <w:rFonts w:ascii="Arial" w:hAnsi="Arial" w:cs="Arial"/>
          <w:color w:val="010000"/>
          <w:sz w:val="20"/>
        </w:rPr>
        <w:t xml:space="preserve">On January 05, 2024, B.C.H Joint Stock Company announced Resolution No. 02/NQ-HDQT on the transactions with the Company’s affiliated parties as </w:t>
      </w:r>
      <w:r w:rsidR="00263B87" w:rsidRPr="00BC22B3">
        <w:rPr>
          <w:rFonts w:ascii="Arial" w:hAnsi="Arial" w:cs="Arial"/>
          <w:color w:val="010000"/>
          <w:sz w:val="20"/>
        </w:rPr>
        <w:t>follows</w:t>
      </w:r>
      <w:r w:rsidRPr="00BC22B3">
        <w:rPr>
          <w:rFonts w:ascii="Arial" w:hAnsi="Arial" w:cs="Arial"/>
          <w:color w:val="010000"/>
          <w:sz w:val="20"/>
        </w:rPr>
        <w:t>:</w:t>
      </w:r>
    </w:p>
    <w:p w14:paraId="00000003" w14:textId="77777777" w:rsidR="002D5B2A" w:rsidRPr="00BC22B3" w:rsidRDefault="00BC22B3" w:rsidP="0074389E">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BC22B3">
        <w:rPr>
          <w:rFonts w:ascii="Arial" w:hAnsi="Arial" w:cs="Arial"/>
          <w:color w:val="010000"/>
          <w:sz w:val="20"/>
        </w:rPr>
        <w:t>Article 1: Within the scope of transaction values ​​under the authorities of the Board of Directors, the Board of Directors of the Company approves the transactions between B.C.H Joint Stock Company and affiliated parties of the Company arising in 2024 as follows:</w:t>
      </w:r>
    </w:p>
    <w:p w14:paraId="00000004" w14:textId="77777777" w:rsidR="002D5B2A" w:rsidRPr="00BC22B3" w:rsidRDefault="00BC22B3" w:rsidP="0074389E">
      <w:pPr>
        <w:numPr>
          <w:ilvl w:val="0"/>
          <w:numId w:val="2"/>
        </w:numPr>
        <w:pBdr>
          <w:top w:val="nil"/>
          <w:left w:val="nil"/>
          <w:bottom w:val="nil"/>
          <w:right w:val="nil"/>
          <w:between w:val="nil"/>
        </w:pBdr>
        <w:tabs>
          <w:tab w:val="left" w:pos="360"/>
          <w:tab w:val="left" w:pos="450"/>
          <w:tab w:val="left" w:pos="767"/>
        </w:tabs>
        <w:spacing w:after="120" w:line="360" w:lineRule="auto"/>
        <w:rPr>
          <w:rFonts w:ascii="Arial" w:eastAsia="Arial" w:hAnsi="Arial" w:cs="Arial"/>
          <w:color w:val="010000"/>
          <w:sz w:val="20"/>
          <w:szCs w:val="20"/>
        </w:rPr>
      </w:pPr>
      <w:r w:rsidRPr="00BC22B3">
        <w:rPr>
          <w:rFonts w:ascii="Arial" w:hAnsi="Arial" w:cs="Arial"/>
          <w:color w:val="010000"/>
          <w:sz w:val="20"/>
        </w:rPr>
        <w:t>Approve the transactions with its subsidiary (</w:t>
      </w:r>
      <w:proofErr w:type="spellStart"/>
      <w:r w:rsidRPr="00BC22B3">
        <w:rPr>
          <w:rFonts w:ascii="Arial" w:hAnsi="Arial" w:cs="Arial"/>
          <w:color w:val="010000"/>
          <w:sz w:val="20"/>
        </w:rPr>
        <w:t>Tuyen</w:t>
      </w:r>
      <w:proofErr w:type="spellEnd"/>
      <w:r w:rsidRPr="00BC22B3">
        <w:rPr>
          <w:rFonts w:ascii="Arial" w:hAnsi="Arial" w:cs="Arial"/>
          <w:color w:val="010000"/>
          <w:sz w:val="20"/>
        </w:rPr>
        <w:t xml:space="preserve"> </w:t>
      </w:r>
      <w:proofErr w:type="spellStart"/>
      <w:r w:rsidRPr="00BC22B3">
        <w:rPr>
          <w:rFonts w:ascii="Arial" w:hAnsi="Arial" w:cs="Arial"/>
          <w:color w:val="010000"/>
          <w:sz w:val="20"/>
        </w:rPr>
        <w:t>Quang</w:t>
      </w:r>
      <w:proofErr w:type="spellEnd"/>
      <w:r w:rsidRPr="00BC22B3">
        <w:rPr>
          <w:rFonts w:ascii="Arial" w:hAnsi="Arial" w:cs="Arial"/>
          <w:color w:val="010000"/>
          <w:sz w:val="20"/>
        </w:rPr>
        <w:t xml:space="preserve"> Iron Steel Company Limited), including but not limited to the transactions listed below:</w:t>
      </w:r>
    </w:p>
    <w:p w14:paraId="00000005" w14:textId="300C66F2" w:rsidR="002D5B2A" w:rsidRPr="00BC22B3" w:rsidRDefault="00BC22B3" w:rsidP="0074389E">
      <w:pPr>
        <w:numPr>
          <w:ilvl w:val="0"/>
          <w:numId w:val="1"/>
        </w:numPr>
        <w:pBdr>
          <w:top w:val="nil"/>
          <w:left w:val="nil"/>
          <w:bottom w:val="nil"/>
          <w:right w:val="nil"/>
          <w:between w:val="nil"/>
        </w:pBdr>
        <w:tabs>
          <w:tab w:val="left" w:pos="360"/>
          <w:tab w:val="left" w:pos="450"/>
          <w:tab w:val="left" w:pos="767"/>
        </w:tabs>
        <w:spacing w:after="120" w:line="360" w:lineRule="auto"/>
        <w:rPr>
          <w:rFonts w:ascii="Arial" w:eastAsia="Arial" w:hAnsi="Arial" w:cs="Arial"/>
          <w:color w:val="010000"/>
          <w:sz w:val="20"/>
          <w:szCs w:val="20"/>
        </w:rPr>
      </w:pPr>
      <w:r w:rsidRPr="00BC22B3">
        <w:rPr>
          <w:rFonts w:ascii="Arial" w:hAnsi="Arial" w:cs="Arial"/>
          <w:color w:val="010000"/>
          <w:sz w:val="20"/>
        </w:rPr>
        <w:t>The transactions of purchasing and selling goods</w:t>
      </w:r>
      <w:r w:rsidR="00263B87" w:rsidRPr="00BC22B3">
        <w:rPr>
          <w:rFonts w:ascii="Arial" w:hAnsi="Arial" w:cs="Arial"/>
          <w:color w:val="010000"/>
          <w:sz w:val="20"/>
        </w:rPr>
        <w:t xml:space="preserve"> and</w:t>
      </w:r>
      <w:r w:rsidRPr="00BC22B3">
        <w:rPr>
          <w:rFonts w:ascii="Arial" w:hAnsi="Arial" w:cs="Arial"/>
          <w:color w:val="010000"/>
          <w:sz w:val="20"/>
        </w:rPr>
        <w:t xml:space="preserve"> services;</w:t>
      </w:r>
    </w:p>
    <w:p w14:paraId="00000006" w14:textId="69AD1CC8" w:rsidR="002D5B2A" w:rsidRPr="00BC22B3" w:rsidRDefault="00BC22B3" w:rsidP="0074389E">
      <w:pPr>
        <w:numPr>
          <w:ilvl w:val="0"/>
          <w:numId w:val="1"/>
        </w:numPr>
        <w:pBdr>
          <w:top w:val="nil"/>
          <w:left w:val="nil"/>
          <w:bottom w:val="nil"/>
          <w:right w:val="nil"/>
          <w:between w:val="nil"/>
        </w:pBdr>
        <w:tabs>
          <w:tab w:val="left" w:pos="360"/>
          <w:tab w:val="left" w:pos="450"/>
          <w:tab w:val="left" w:pos="767"/>
        </w:tabs>
        <w:spacing w:after="120" w:line="360" w:lineRule="auto"/>
        <w:rPr>
          <w:rFonts w:ascii="Arial" w:eastAsia="Arial" w:hAnsi="Arial" w:cs="Arial"/>
          <w:color w:val="010000"/>
          <w:sz w:val="20"/>
          <w:szCs w:val="20"/>
        </w:rPr>
      </w:pPr>
      <w:r w:rsidRPr="00BC22B3">
        <w:rPr>
          <w:rFonts w:ascii="Arial" w:hAnsi="Arial" w:cs="Arial"/>
          <w:color w:val="010000"/>
          <w:sz w:val="20"/>
        </w:rPr>
        <w:t>Transactions of borrowing, loaning</w:t>
      </w:r>
      <w:r w:rsidR="0074389E" w:rsidRPr="00BC22B3">
        <w:rPr>
          <w:rFonts w:ascii="Arial" w:hAnsi="Arial" w:cs="Arial"/>
          <w:color w:val="010000"/>
          <w:sz w:val="20"/>
        </w:rPr>
        <w:t>,</w:t>
      </w:r>
      <w:r w:rsidRPr="00BC22B3">
        <w:rPr>
          <w:rFonts w:ascii="Arial" w:hAnsi="Arial" w:cs="Arial"/>
          <w:color w:val="010000"/>
          <w:sz w:val="20"/>
        </w:rPr>
        <w:t xml:space="preserve"> guaranteeing, pledging and mortgaging assets.</w:t>
      </w:r>
    </w:p>
    <w:p w14:paraId="00000007" w14:textId="37F4BBC3" w:rsidR="002D5B2A" w:rsidRPr="00BC22B3" w:rsidRDefault="00BC22B3" w:rsidP="0074389E">
      <w:pPr>
        <w:numPr>
          <w:ilvl w:val="0"/>
          <w:numId w:val="2"/>
        </w:numPr>
        <w:pBdr>
          <w:top w:val="nil"/>
          <w:left w:val="nil"/>
          <w:bottom w:val="nil"/>
          <w:right w:val="nil"/>
          <w:between w:val="nil"/>
        </w:pBdr>
        <w:tabs>
          <w:tab w:val="left" w:pos="360"/>
          <w:tab w:val="left" w:pos="450"/>
          <w:tab w:val="left" w:pos="795"/>
        </w:tabs>
        <w:spacing w:after="120" w:line="360" w:lineRule="auto"/>
        <w:rPr>
          <w:rFonts w:ascii="Arial" w:eastAsia="Arial" w:hAnsi="Arial" w:cs="Arial"/>
          <w:color w:val="010000"/>
          <w:sz w:val="20"/>
          <w:szCs w:val="20"/>
        </w:rPr>
      </w:pPr>
      <w:r w:rsidRPr="00BC22B3">
        <w:rPr>
          <w:rFonts w:ascii="Arial" w:hAnsi="Arial" w:cs="Arial"/>
          <w:color w:val="010000"/>
          <w:sz w:val="20"/>
        </w:rPr>
        <w:t>Approve transactions</w:t>
      </w:r>
      <w:r w:rsidR="00263B87" w:rsidRPr="00BC22B3">
        <w:rPr>
          <w:rFonts w:ascii="Arial" w:hAnsi="Arial" w:cs="Arial"/>
          <w:color w:val="010000"/>
          <w:sz w:val="20"/>
        </w:rPr>
        <w:t xml:space="preserve"> of prepayment</w:t>
      </w:r>
      <w:r w:rsidRPr="00BC22B3">
        <w:rPr>
          <w:rFonts w:ascii="Arial" w:hAnsi="Arial" w:cs="Arial"/>
          <w:color w:val="010000"/>
          <w:sz w:val="20"/>
        </w:rPr>
        <w:t>, receiving loan</w:t>
      </w:r>
      <w:r w:rsidR="00263B87" w:rsidRPr="00BC22B3">
        <w:rPr>
          <w:rFonts w:ascii="Arial" w:hAnsi="Arial" w:cs="Arial"/>
          <w:color w:val="010000"/>
          <w:sz w:val="20"/>
        </w:rPr>
        <w:t>s</w:t>
      </w:r>
      <w:r w:rsidRPr="00BC22B3">
        <w:rPr>
          <w:rFonts w:ascii="Arial" w:hAnsi="Arial" w:cs="Arial"/>
          <w:color w:val="010000"/>
          <w:sz w:val="20"/>
        </w:rPr>
        <w:t xml:space="preserve"> and guarantees </w:t>
      </w:r>
      <w:r w:rsidR="00935154" w:rsidRPr="00BC22B3">
        <w:rPr>
          <w:rFonts w:ascii="Arial" w:hAnsi="Arial" w:cs="Arial"/>
          <w:color w:val="010000"/>
          <w:sz w:val="20"/>
        </w:rPr>
        <w:t xml:space="preserve">with </w:t>
      </w:r>
      <w:r w:rsidRPr="00BC22B3">
        <w:rPr>
          <w:rFonts w:ascii="Arial" w:hAnsi="Arial" w:cs="Arial"/>
          <w:color w:val="010000"/>
          <w:sz w:val="20"/>
        </w:rPr>
        <w:t>PDMR of the Company includ</w:t>
      </w:r>
      <w:r w:rsidR="00935154" w:rsidRPr="00BC22B3">
        <w:rPr>
          <w:rFonts w:ascii="Arial" w:hAnsi="Arial" w:cs="Arial"/>
          <w:color w:val="010000"/>
          <w:sz w:val="20"/>
        </w:rPr>
        <w:t>ing:</w:t>
      </w:r>
      <w:r w:rsidRPr="00BC22B3">
        <w:rPr>
          <w:rFonts w:ascii="Arial" w:hAnsi="Arial" w:cs="Arial"/>
          <w:color w:val="010000"/>
          <w:sz w:val="20"/>
        </w:rPr>
        <w:t xml:space="preserve"> </w:t>
      </w:r>
      <w:r w:rsidR="00935154" w:rsidRPr="00BC22B3">
        <w:rPr>
          <w:rFonts w:ascii="Arial" w:hAnsi="Arial" w:cs="Arial"/>
          <w:color w:val="010000"/>
          <w:sz w:val="20"/>
        </w:rPr>
        <w:t>m</w:t>
      </w:r>
      <w:r w:rsidRPr="00BC22B3">
        <w:rPr>
          <w:rFonts w:ascii="Arial" w:hAnsi="Arial" w:cs="Arial"/>
          <w:color w:val="010000"/>
          <w:sz w:val="20"/>
        </w:rPr>
        <w:t xml:space="preserve">embers of the Board of Directors, members of the Supervisory Board, the General Manager, the Deputy General Managers, </w:t>
      </w:r>
      <w:r w:rsidR="00BE1210" w:rsidRPr="00BC22B3">
        <w:rPr>
          <w:rFonts w:ascii="Arial" w:hAnsi="Arial" w:cs="Arial"/>
          <w:color w:val="010000"/>
          <w:sz w:val="20"/>
        </w:rPr>
        <w:t xml:space="preserve">the </w:t>
      </w:r>
      <w:r w:rsidRPr="00BC22B3">
        <w:rPr>
          <w:rFonts w:ascii="Arial" w:hAnsi="Arial" w:cs="Arial"/>
          <w:color w:val="010000"/>
          <w:sz w:val="20"/>
        </w:rPr>
        <w:t>Chief Accountant and individuals related to these subjects.</w:t>
      </w:r>
    </w:p>
    <w:p w14:paraId="00000008" w14:textId="43C7262F" w:rsidR="002D5B2A" w:rsidRPr="00BC22B3" w:rsidRDefault="00BC22B3" w:rsidP="0074389E">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BC22B3">
        <w:rPr>
          <w:rFonts w:ascii="Arial" w:hAnsi="Arial" w:cs="Arial"/>
          <w:color w:val="010000"/>
          <w:sz w:val="20"/>
        </w:rPr>
        <w:t xml:space="preserve">Article 2: Assign the General Manager of the Company to proactively organize the negotiation, signing, and implementation of contracts, agreements, including amendments and supplementing appendices </w:t>
      </w:r>
      <w:r w:rsidR="00B43D37" w:rsidRPr="00BC22B3">
        <w:rPr>
          <w:rFonts w:ascii="Arial" w:hAnsi="Arial" w:cs="Arial"/>
          <w:color w:val="010000"/>
          <w:sz w:val="20"/>
        </w:rPr>
        <w:t xml:space="preserve">to </w:t>
      </w:r>
      <w:r w:rsidR="00D066AA" w:rsidRPr="00BC22B3">
        <w:rPr>
          <w:rFonts w:ascii="Arial" w:hAnsi="Arial" w:cs="Arial"/>
          <w:color w:val="010000"/>
          <w:sz w:val="20"/>
        </w:rPr>
        <w:t xml:space="preserve">the above </w:t>
      </w:r>
      <w:r w:rsidRPr="00BC22B3">
        <w:rPr>
          <w:rFonts w:ascii="Arial" w:hAnsi="Arial" w:cs="Arial"/>
          <w:color w:val="010000"/>
          <w:sz w:val="20"/>
        </w:rPr>
        <w:t>contract according to the provisions of the law.</w:t>
      </w:r>
    </w:p>
    <w:p w14:paraId="00000009" w14:textId="77777777" w:rsidR="002D5B2A" w:rsidRPr="00BC22B3" w:rsidRDefault="00BC22B3" w:rsidP="0074389E">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BC22B3">
        <w:rPr>
          <w:rFonts w:ascii="Arial" w:hAnsi="Arial" w:cs="Arial"/>
          <w:color w:val="010000"/>
          <w:sz w:val="20"/>
        </w:rPr>
        <w:t>Article 3: Terms of enforcement</w:t>
      </w:r>
    </w:p>
    <w:p w14:paraId="0000000A" w14:textId="77777777" w:rsidR="002D5B2A" w:rsidRPr="00BC22B3" w:rsidRDefault="00BC22B3" w:rsidP="0074389E">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BC22B3">
        <w:rPr>
          <w:rFonts w:ascii="Arial" w:hAnsi="Arial" w:cs="Arial"/>
          <w:color w:val="010000"/>
          <w:sz w:val="20"/>
        </w:rPr>
        <w:t>Members of the Board of Directors, the Board of Management, and related functional departments are responsible for the implementation of this Resolution.</w:t>
      </w:r>
    </w:p>
    <w:p w14:paraId="0000000B" w14:textId="77777777" w:rsidR="002D5B2A" w:rsidRPr="00BC22B3" w:rsidRDefault="00BC22B3" w:rsidP="0074389E">
      <w:pPr>
        <w:pBdr>
          <w:top w:val="nil"/>
          <w:left w:val="nil"/>
          <w:bottom w:val="nil"/>
          <w:right w:val="nil"/>
          <w:between w:val="nil"/>
        </w:pBdr>
        <w:tabs>
          <w:tab w:val="left" w:pos="360"/>
          <w:tab w:val="left" w:pos="450"/>
        </w:tabs>
        <w:spacing w:after="120" w:line="360" w:lineRule="auto"/>
        <w:rPr>
          <w:rFonts w:ascii="Arial" w:eastAsia="Arial" w:hAnsi="Arial" w:cs="Arial"/>
          <w:color w:val="010000"/>
          <w:sz w:val="20"/>
          <w:szCs w:val="20"/>
        </w:rPr>
      </w:pPr>
      <w:r w:rsidRPr="00BC22B3">
        <w:rPr>
          <w:rFonts w:ascii="Arial" w:hAnsi="Arial" w:cs="Arial"/>
          <w:color w:val="010000"/>
          <w:sz w:val="20"/>
        </w:rPr>
        <w:t>This Resolution takes effect from the date of its signing</w:t>
      </w:r>
      <w:proofErr w:type="gramStart"/>
      <w:r w:rsidRPr="00BC22B3">
        <w:rPr>
          <w:rFonts w:ascii="Arial" w:hAnsi="Arial" w:cs="Arial"/>
          <w:color w:val="010000"/>
          <w:sz w:val="20"/>
        </w:rPr>
        <w:t>./</w:t>
      </w:r>
      <w:proofErr w:type="gramEnd"/>
      <w:r w:rsidRPr="00BC22B3">
        <w:rPr>
          <w:rFonts w:ascii="Arial" w:hAnsi="Arial" w:cs="Arial"/>
          <w:color w:val="010000"/>
          <w:sz w:val="20"/>
        </w:rPr>
        <w:t>.</w:t>
      </w:r>
    </w:p>
    <w:sectPr w:rsidR="002D5B2A" w:rsidRPr="00BC22B3" w:rsidSect="0074389E">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02212"/>
    <w:multiLevelType w:val="multilevel"/>
    <w:tmpl w:val="E4F885F0"/>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C8065A3"/>
    <w:multiLevelType w:val="multilevel"/>
    <w:tmpl w:val="7A7C670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2A"/>
    <w:rsid w:val="00263B87"/>
    <w:rsid w:val="002D5B2A"/>
    <w:rsid w:val="0074389E"/>
    <w:rsid w:val="00935154"/>
    <w:rsid w:val="00AC3B79"/>
    <w:rsid w:val="00B43D37"/>
    <w:rsid w:val="00BC22B3"/>
    <w:rsid w:val="00BE1210"/>
    <w:rsid w:val="00D066AA"/>
    <w:rsid w:val="00E1227A"/>
    <w:rsid w:val="00F8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E4CD2"/>
  <w15:docId w15:val="{168EAAB7-39E5-49BA-ACAA-D1266971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Rpg/6MR45cdwYYbml+dopMJlg==">CgMxLjA4AHIhMTluSjdPaEJHdXd0MzFWeWNDUkI2cDU0bUUyUWliOS1C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2024-01-10T03:43:00Z</dcterms:created>
  <dcterms:modified xsi:type="dcterms:W3CDTF">2024-01-10T03:43:00Z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bab9527c69e8b2ad7f9dcd3aed7b1d211c74187bcf16eec6d5a68b916bb1d765</vt:lpwstr>
  </property>
</Properties>
</file>