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F6FA5F8" w:rsidR="00337B1B" w:rsidRPr="00CE5A1E" w:rsidRDefault="00C43399" w:rsidP="005267A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r w:rsidRPr="00CE5A1E">
        <w:rPr>
          <w:rFonts w:ascii="Arial" w:hAnsi="Arial" w:cs="Arial"/>
          <w:b/>
          <w:color w:val="010000"/>
          <w:sz w:val="20"/>
        </w:rPr>
        <w:t>CAR: Board Resolution</w:t>
      </w:r>
    </w:p>
    <w:p w14:paraId="00000002" w14:textId="77777777" w:rsidR="00337B1B" w:rsidRPr="00CE5A1E" w:rsidRDefault="00C43399" w:rsidP="005267A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E5A1E">
        <w:rPr>
          <w:rFonts w:ascii="Arial" w:hAnsi="Arial" w:cs="Arial"/>
          <w:color w:val="010000"/>
          <w:sz w:val="20"/>
        </w:rPr>
        <w:t xml:space="preserve">On January 9, 2024, Tri Viet Education Group Joint Stock Company announced Resolution No. 0901/2024/NQ – HDQT on </w:t>
      </w:r>
      <w:bookmarkStart w:id="0" w:name="_GoBack"/>
      <w:bookmarkEnd w:id="0"/>
      <w:r w:rsidRPr="00CE5A1E">
        <w:rPr>
          <w:rFonts w:ascii="Arial" w:hAnsi="Arial" w:cs="Arial"/>
          <w:color w:val="010000"/>
          <w:sz w:val="20"/>
        </w:rPr>
        <w:t>approving the results of the share issuance to pay dividends in 2022 as follows:</w:t>
      </w:r>
    </w:p>
    <w:p w14:paraId="5FE5CA50" w14:textId="77777777" w:rsidR="001E4422" w:rsidRPr="00CE5A1E" w:rsidRDefault="001E4422" w:rsidP="005267A5">
      <w:pPr>
        <w:tabs>
          <w:tab w:val="left" w:pos="360"/>
          <w:tab w:val="left" w:pos="69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E5A1E">
        <w:rPr>
          <w:rFonts w:ascii="Arial" w:hAnsi="Arial" w:cs="Arial"/>
          <w:color w:val="010000"/>
          <w:sz w:val="20"/>
        </w:rPr>
        <w:t>Article 1: Approve the result of the issuance of shares to pay dividends in 2022:</w:t>
      </w:r>
    </w:p>
    <w:p w14:paraId="0D8F5767" w14:textId="08329377" w:rsidR="001E4422" w:rsidRPr="00CE5A1E" w:rsidRDefault="001E4422" w:rsidP="005267A5">
      <w:pPr>
        <w:numPr>
          <w:ilvl w:val="0"/>
          <w:numId w:val="2"/>
        </w:numPr>
        <w:tabs>
          <w:tab w:val="left" w:pos="360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E5A1E">
        <w:rPr>
          <w:rFonts w:ascii="Arial" w:hAnsi="Arial" w:cs="Arial"/>
          <w:color w:val="010000"/>
          <w:sz w:val="20"/>
        </w:rPr>
        <w:t xml:space="preserve">Share name: share of Tri Viet Education Group Joint Stock Company </w:t>
      </w:r>
    </w:p>
    <w:p w14:paraId="4F18B2F4" w14:textId="77777777" w:rsidR="001E4422" w:rsidRPr="00CE5A1E" w:rsidRDefault="001E4422" w:rsidP="005267A5">
      <w:pPr>
        <w:numPr>
          <w:ilvl w:val="0"/>
          <w:numId w:val="2"/>
        </w:numPr>
        <w:tabs>
          <w:tab w:val="left" w:pos="360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E5A1E">
        <w:rPr>
          <w:rFonts w:ascii="Arial" w:hAnsi="Arial" w:cs="Arial"/>
          <w:color w:val="010000"/>
          <w:sz w:val="20"/>
        </w:rPr>
        <w:t>Share type: Common shares</w:t>
      </w:r>
    </w:p>
    <w:p w14:paraId="01961EC0" w14:textId="77777777" w:rsidR="001E4422" w:rsidRPr="00CE5A1E" w:rsidRDefault="001E4422" w:rsidP="005267A5">
      <w:pPr>
        <w:numPr>
          <w:ilvl w:val="0"/>
          <w:numId w:val="2"/>
        </w:numPr>
        <w:tabs>
          <w:tab w:val="left" w:pos="360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E5A1E">
        <w:rPr>
          <w:rFonts w:ascii="Arial" w:hAnsi="Arial" w:cs="Arial"/>
          <w:color w:val="010000"/>
          <w:sz w:val="20"/>
        </w:rPr>
        <w:t>Number of shares before issuance:</w:t>
      </w:r>
    </w:p>
    <w:p w14:paraId="772652A2" w14:textId="77777777" w:rsidR="001E4422" w:rsidRPr="00CE5A1E" w:rsidRDefault="001E4422" w:rsidP="005267A5">
      <w:pPr>
        <w:pStyle w:val="ListParagraph"/>
        <w:numPr>
          <w:ilvl w:val="0"/>
          <w:numId w:val="3"/>
        </w:numPr>
        <w:tabs>
          <w:tab w:val="left" w:pos="360"/>
        </w:tabs>
        <w:spacing w:after="120" w:line="360" w:lineRule="auto"/>
        <w:contextualSpacing w:val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E5A1E">
        <w:rPr>
          <w:rFonts w:ascii="Arial" w:hAnsi="Arial" w:cs="Arial"/>
          <w:color w:val="010000"/>
          <w:sz w:val="20"/>
        </w:rPr>
        <w:t>Total number of issued shares: 3,200,000 shares.</w:t>
      </w:r>
    </w:p>
    <w:p w14:paraId="143D1B79" w14:textId="77777777" w:rsidR="001E4422" w:rsidRPr="00CE5A1E" w:rsidRDefault="001E4422" w:rsidP="005267A5">
      <w:pPr>
        <w:pStyle w:val="ListParagraph"/>
        <w:numPr>
          <w:ilvl w:val="0"/>
          <w:numId w:val="3"/>
        </w:numPr>
        <w:tabs>
          <w:tab w:val="left" w:pos="360"/>
          <w:tab w:val="left" w:pos="1221"/>
        </w:tabs>
        <w:spacing w:after="120" w:line="360" w:lineRule="auto"/>
        <w:contextualSpacing w:val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E5A1E">
        <w:rPr>
          <w:rFonts w:ascii="Arial" w:hAnsi="Arial" w:cs="Arial"/>
          <w:color w:val="010000"/>
          <w:sz w:val="20"/>
        </w:rPr>
        <w:t>Number of outstanding shares 3,200,000 shares.</w:t>
      </w:r>
    </w:p>
    <w:p w14:paraId="0753B153" w14:textId="77777777" w:rsidR="001E4422" w:rsidRPr="00CE5A1E" w:rsidRDefault="001E4422" w:rsidP="005267A5">
      <w:pPr>
        <w:pStyle w:val="ListParagraph"/>
        <w:numPr>
          <w:ilvl w:val="0"/>
          <w:numId w:val="3"/>
        </w:numPr>
        <w:tabs>
          <w:tab w:val="left" w:pos="360"/>
          <w:tab w:val="left" w:pos="1221"/>
        </w:tabs>
        <w:spacing w:after="120" w:line="360" w:lineRule="auto"/>
        <w:contextualSpacing w:val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E5A1E">
        <w:rPr>
          <w:rFonts w:ascii="Arial" w:hAnsi="Arial" w:cs="Arial"/>
          <w:color w:val="010000"/>
          <w:sz w:val="20"/>
        </w:rPr>
        <w:t>Number of treasury shares: 0 shares.</w:t>
      </w:r>
    </w:p>
    <w:p w14:paraId="30C671C1" w14:textId="77777777" w:rsidR="001E4422" w:rsidRPr="00CE5A1E" w:rsidRDefault="001E4422" w:rsidP="005267A5">
      <w:pPr>
        <w:numPr>
          <w:ilvl w:val="0"/>
          <w:numId w:val="2"/>
        </w:numPr>
        <w:tabs>
          <w:tab w:val="left" w:pos="360"/>
          <w:tab w:val="left" w:pos="1221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E5A1E">
        <w:rPr>
          <w:rFonts w:ascii="Arial" w:hAnsi="Arial" w:cs="Arial"/>
          <w:color w:val="010000"/>
          <w:sz w:val="20"/>
        </w:rPr>
        <w:t xml:space="preserve">Number of shares expected to be issued: 640,000 shares. </w:t>
      </w:r>
    </w:p>
    <w:p w14:paraId="4806C038" w14:textId="77777777" w:rsidR="001E4422" w:rsidRPr="00CE5A1E" w:rsidRDefault="001E4422" w:rsidP="005267A5">
      <w:pPr>
        <w:numPr>
          <w:ilvl w:val="0"/>
          <w:numId w:val="2"/>
        </w:numPr>
        <w:tabs>
          <w:tab w:val="left" w:pos="360"/>
          <w:tab w:val="left" w:pos="1221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E5A1E">
        <w:rPr>
          <w:rFonts w:ascii="Arial" w:hAnsi="Arial" w:cs="Arial"/>
          <w:color w:val="010000"/>
          <w:sz w:val="20"/>
        </w:rPr>
        <w:t>Total number of distributed shares: 640,000 shares, in which:</w:t>
      </w:r>
    </w:p>
    <w:p w14:paraId="46090CA5" w14:textId="77777777" w:rsidR="001E4422" w:rsidRPr="00CE5A1E" w:rsidRDefault="001E4422" w:rsidP="005267A5">
      <w:pPr>
        <w:pStyle w:val="ListParagraph"/>
        <w:numPr>
          <w:ilvl w:val="0"/>
          <w:numId w:val="4"/>
        </w:numPr>
        <w:tabs>
          <w:tab w:val="left" w:pos="360"/>
          <w:tab w:val="left" w:pos="1221"/>
        </w:tabs>
        <w:spacing w:after="120" w:line="360" w:lineRule="auto"/>
        <w:contextualSpacing w:val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E5A1E">
        <w:rPr>
          <w:rFonts w:ascii="Arial" w:hAnsi="Arial" w:cs="Arial"/>
          <w:color w:val="010000"/>
          <w:sz w:val="20"/>
        </w:rPr>
        <w:t>Number of shares distributed to shareholders according to the rate: 640,000 shares for 139 shareholders;</w:t>
      </w:r>
    </w:p>
    <w:p w14:paraId="6436E9C9" w14:textId="22C46B3D" w:rsidR="001E4422" w:rsidRPr="00CE5A1E" w:rsidRDefault="001E4422" w:rsidP="005267A5">
      <w:pPr>
        <w:pStyle w:val="ListParagraph"/>
        <w:numPr>
          <w:ilvl w:val="0"/>
          <w:numId w:val="4"/>
        </w:numPr>
        <w:tabs>
          <w:tab w:val="left" w:pos="360"/>
          <w:tab w:val="left" w:pos="1221"/>
        </w:tabs>
        <w:spacing w:after="120" w:line="360" w:lineRule="auto"/>
        <w:contextualSpacing w:val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E5A1E">
        <w:rPr>
          <w:rFonts w:ascii="Arial" w:hAnsi="Arial" w:cs="Arial"/>
          <w:color w:val="010000"/>
          <w:sz w:val="20"/>
        </w:rPr>
        <w:t>Number of shares with decimal places, fractional shares handled: 0 shares.</w:t>
      </w:r>
    </w:p>
    <w:p w14:paraId="29B3A7AD" w14:textId="6BF1C8A2" w:rsidR="001E4422" w:rsidRPr="00CE5A1E" w:rsidRDefault="001E4422" w:rsidP="005267A5">
      <w:pPr>
        <w:numPr>
          <w:ilvl w:val="0"/>
          <w:numId w:val="2"/>
        </w:numPr>
        <w:tabs>
          <w:tab w:val="left" w:pos="360"/>
          <w:tab w:val="left" w:pos="1221"/>
        </w:tabs>
        <w:spacing w:after="120" w:line="360" w:lineRule="auto"/>
        <w:ind w:left="0" w:firstLine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E5A1E">
        <w:rPr>
          <w:rFonts w:ascii="Arial" w:hAnsi="Arial" w:cs="Arial"/>
          <w:color w:val="010000"/>
          <w:sz w:val="20"/>
        </w:rPr>
        <w:t>Total number of shares after issuance (after December 25, 2023): 3,840,000 shares</w:t>
      </w:r>
    </w:p>
    <w:p w14:paraId="6C3461A6" w14:textId="5AC64342" w:rsidR="001E4422" w:rsidRPr="00CE5A1E" w:rsidRDefault="001E4422" w:rsidP="005267A5">
      <w:pPr>
        <w:pStyle w:val="ListParagraph"/>
        <w:numPr>
          <w:ilvl w:val="0"/>
          <w:numId w:val="5"/>
        </w:numPr>
        <w:tabs>
          <w:tab w:val="left" w:pos="360"/>
          <w:tab w:val="left" w:pos="1221"/>
        </w:tabs>
        <w:spacing w:after="120" w:line="360" w:lineRule="auto"/>
        <w:contextualSpacing w:val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E5A1E">
        <w:rPr>
          <w:rFonts w:ascii="Arial" w:hAnsi="Arial" w:cs="Arial"/>
          <w:color w:val="010000"/>
          <w:sz w:val="20"/>
        </w:rPr>
        <w:t>Number of outstanding shares</w:t>
      </w:r>
      <w:r w:rsidR="001201BD" w:rsidRPr="00CE5A1E">
        <w:rPr>
          <w:rFonts w:ascii="Arial" w:hAnsi="Arial" w:cs="Arial"/>
          <w:color w:val="010000"/>
          <w:sz w:val="20"/>
        </w:rPr>
        <w:t>:</w:t>
      </w:r>
      <w:r w:rsidRPr="00CE5A1E">
        <w:rPr>
          <w:rFonts w:ascii="Arial" w:hAnsi="Arial" w:cs="Arial"/>
          <w:color w:val="010000"/>
          <w:sz w:val="20"/>
        </w:rPr>
        <w:t xml:space="preserve"> 3,840,000 shares</w:t>
      </w:r>
    </w:p>
    <w:p w14:paraId="30931A49" w14:textId="77777777" w:rsidR="001E4422" w:rsidRPr="00CE5A1E" w:rsidRDefault="001E4422" w:rsidP="005267A5">
      <w:pPr>
        <w:pStyle w:val="ListParagraph"/>
        <w:numPr>
          <w:ilvl w:val="0"/>
          <w:numId w:val="5"/>
        </w:numPr>
        <w:tabs>
          <w:tab w:val="left" w:pos="360"/>
          <w:tab w:val="left" w:pos="1221"/>
        </w:tabs>
        <w:spacing w:after="120" w:line="360" w:lineRule="auto"/>
        <w:contextualSpacing w:val="0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E5A1E">
        <w:rPr>
          <w:rFonts w:ascii="Arial" w:hAnsi="Arial" w:cs="Arial"/>
          <w:color w:val="010000"/>
          <w:sz w:val="20"/>
        </w:rPr>
        <w:t>Number of treasury shares: 0 shares.</w:t>
      </w:r>
    </w:p>
    <w:p w14:paraId="16643B76" w14:textId="31A5B014" w:rsidR="001E4422" w:rsidRPr="00CE5A1E" w:rsidRDefault="001E4422" w:rsidP="005267A5">
      <w:pP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E5A1E">
        <w:rPr>
          <w:rFonts w:ascii="Arial" w:hAnsi="Arial" w:cs="Arial"/>
          <w:color w:val="010000"/>
          <w:sz w:val="20"/>
        </w:rPr>
        <w:t xml:space="preserve">Article 2: Approve assigning the Chair of the Board of Directors, the General Manager and related </w:t>
      </w:r>
      <w:r w:rsidR="001201BD" w:rsidRPr="00CE5A1E">
        <w:rPr>
          <w:rFonts w:ascii="Arial" w:hAnsi="Arial" w:cs="Arial"/>
          <w:color w:val="010000"/>
          <w:sz w:val="20"/>
        </w:rPr>
        <w:t xml:space="preserve">departments </w:t>
      </w:r>
      <w:r w:rsidRPr="00CE5A1E">
        <w:rPr>
          <w:rFonts w:ascii="Arial" w:hAnsi="Arial" w:cs="Arial"/>
          <w:color w:val="010000"/>
          <w:sz w:val="20"/>
        </w:rPr>
        <w:t>to report the result of the issuance to state management agenc</w:t>
      </w:r>
      <w:r w:rsidR="00906175" w:rsidRPr="00CE5A1E">
        <w:rPr>
          <w:rFonts w:ascii="Arial" w:hAnsi="Arial" w:cs="Arial"/>
          <w:color w:val="010000"/>
          <w:sz w:val="20"/>
        </w:rPr>
        <w:t>ies</w:t>
      </w:r>
      <w:r w:rsidRPr="00CE5A1E">
        <w:rPr>
          <w:rFonts w:ascii="Arial" w:hAnsi="Arial" w:cs="Arial"/>
          <w:color w:val="010000"/>
          <w:sz w:val="20"/>
        </w:rPr>
        <w:t xml:space="preserve">, </w:t>
      </w:r>
      <w:r w:rsidR="00906175" w:rsidRPr="00CE5A1E">
        <w:rPr>
          <w:rFonts w:ascii="Arial" w:hAnsi="Arial" w:cs="Arial"/>
          <w:color w:val="010000"/>
          <w:sz w:val="20"/>
        </w:rPr>
        <w:t xml:space="preserve">implement </w:t>
      </w:r>
      <w:r w:rsidRPr="00CE5A1E">
        <w:rPr>
          <w:rFonts w:ascii="Arial" w:hAnsi="Arial" w:cs="Arial"/>
          <w:color w:val="010000"/>
          <w:sz w:val="20"/>
        </w:rPr>
        <w:t>procedures to adjust the Company’s Charter, adjust the Business Registration Certificate, register</w:t>
      </w:r>
      <w:r w:rsidR="00906175" w:rsidRPr="00CE5A1E">
        <w:rPr>
          <w:rFonts w:ascii="Arial" w:hAnsi="Arial" w:cs="Arial"/>
          <w:color w:val="010000"/>
          <w:sz w:val="20"/>
        </w:rPr>
        <w:t xml:space="preserve"> for</w:t>
      </w:r>
      <w:r w:rsidRPr="00CE5A1E">
        <w:rPr>
          <w:rFonts w:ascii="Arial" w:hAnsi="Arial" w:cs="Arial"/>
          <w:color w:val="010000"/>
          <w:sz w:val="20"/>
        </w:rPr>
        <w:t xml:space="preserve"> additional securities depository and additional </w:t>
      </w:r>
      <w:r w:rsidR="00906175" w:rsidRPr="00CE5A1E">
        <w:rPr>
          <w:rFonts w:ascii="Arial" w:hAnsi="Arial" w:cs="Arial"/>
          <w:color w:val="010000"/>
          <w:sz w:val="20"/>
        </w:rPr>
        <w:t xml:space="preserve">trading </w:t>
      </w:r>
      <w:r w:rsidRPr="00CE5A1E">
        <w:rPr>
          <w:rFonts w:ascii="Arial" w:hAnsi="Arial" w:cs="Arial"/>
          <w:color w:val="010000"/>
          <w:sz w:val="20"/>
        </w:rPr>
        <w:t>for all the additional shares issued</w:t>
      </w:r>
      <w:r w:rsidR="009266D2" w:rsidRPr="00CE5A1E">
        <w:rPr>
          <w:rFonts w:ascii="Arial" w:hAnsi="Arial" w:cs="Arial"/>
          <w:color w:val="010000"/>
          <w:sz w:val="20"/>
        </w:rPr>
        <w:t xml:space="preserve"> to</w:t>
      </w:r>
      <w:r w:rsidRPr="00CE5A1E">
        <w:rPr>
          <w:rFonts w:ascii="Arial" w:hAnsi="Arial" w:cs="Arial"/>
          <w:color w:val="010000"/>
          <w:sz w:val="20"/>
        </w:rPr>
        <w:t xml:space="preserve"> increase charter capital according to new charter capital in compliance with legal regulations.</w:t>
      </w:r>
    </w:p>
    <w:p w14:paraId="1E49E8A6" w14:textId="77777777" w:rsidR="001E4422" w:rsidRPr="00CE5A1E" w:rsidRDefault="001E4422" w:rsidP="005267A5">
      <w:pP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E5A1E">
        <w:rPr>
          <w:rFonts w:ascii="Arial" w:hAnsi="Arial" w:cs="Arial"/>
          <w:color w:val="010000"/>
          <w:sz w:val="20"/>
        </w:rPr>
        <w:t>Article 3: Members of the Board of Directors, the Board of Management, relevant departments and individuals are responsible for the implementation of this Resolution.</w:t>
      </w:r>
    </w:p>
    <w:p w14:paraId="146EE66C" w14:textId="77777777" w:rsidR="001E4422" w:rsidRPr="00CE5A1E" w:rsidRDefault="001E4422" w:rsidP="005267A5">
      <w:pP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CE5A1E">
        <w:rPr>
          <w:rFonts w:ascii="Arial" w:hAnsi="Arial" w:cs="Arial"/>
          <w:color w:val="010000"/>
          <w:sz w:val="20"/>
        </w:rPr>
        <w:t>This Resolution takes effect from the date of its signing</w:t>
      </w:r>
      <w:proofErr w:type="gramStart"/>
      <w:r w:rsidRPr="00CE5A1E">
        <w:rPr>
          <w:rFonts w:ascii="Arial" w:hAnsi="Arial" w:cs="Arial"/>
          <w:color w:val="010000"/>
          <w:sz w:val="20"/>
        </w:rPr>
        <w:t>./</w:t>
      </w:r>
      <w:proofErr w:type="gramEnd"/>
      <w:r w:rsidRPr="00CE5A1E">
        <w:rPr>
          <w:rFonts w:ascii="Arial" w:hAnsi="Arial" w:cs="Arial"/>
          <w:color w:val="010000"/>
          <w:sz w:val="20"/>
        </w:rPr>
        <w:t>.</w:t>
      </w:r>
    </w:p>
    <w:p w14:paraId="00000013" w14:textId="21193A7E" w:rsidR="00337B1B" w:rsidRPr="00CE5A1E" w:rsidRDefault="00337B1B" w:rsidP="005267A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</w:p>
    <w:p w14:paraId="6B04833D" w14:textId="77777777" w:rsidR="005267A5" w:rsidRPr="00CE5A1E" w:rsidRDefault="005267A5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</w:p>
    <w:sectPr w:rsidR="005267A5" w:rsidRPr="00CE5A1E" w:rsidSect="00C43399">
      <w:pgSz w:w="11909" w:h="16840"/>
      <w:pgMar w:top="1440" w:right="1440" w:bottom="1440" w:left="1440" w:header="467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Noto Sans Symbols">
    <w:charset w:val="00"/>
    <w:family w:val="auto"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926AE4"/>
    <w:multiLevelType w:val="multilevel"/>
    <w:tmpl w:val="A44A32EC"/>
    <w:lvl w:ilvl="0"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>
    <w:nsid w:val="5EE0055E"/>
    <w:multiLevelType w:val="hybridMultilevel"/>
    <w:tmpl w:val="20802CEE"/>
    <w:lvl w:ilvl="0" w:tplc="26D2A290">
      <w:start w:val="1"/>
      <w:numFmt w:val="bullet"/>
      <w:lvlRestart w:val="0"/>
      <w:lvlText w:val="+"/>
      <w:lvlJc w:val="left"/>
      <w:pPr>
        <w:ind w:left="0" w:firstLine="0"/>
      </w:pPr>
      <w:rPr>
        <w:rFonts w:ascii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9146F1"/>
    <w:multiLevelType w:val="hybridMultilevel"/>
    <w:tmpl w:val="C28C2538"/>
    <w:lvl w:ilvl="0" w:tplc="26D2A290">
      <w:start w:val="1"/>
      <w:numFmt w:val="bullet"/>
      <w:lvlRestart w:val="0"/>
      <w:lvlText w:val="+"/>
      <w:lvlJc w:val="left"/>
      <w:pPr>
        <w:ind w:left="0" w:firstLine="0"/>
      </w:pPr>
      <w:rPr>
        <w:rFonts w:ascii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26E4703"/>
    <w:multiLevelType w:val="hybridMultilevel"/>
    <w:tmpl w:val="EA22A85C"/>
    <w:lvl w:ilvl="0" w:tplc="26D2A290">
      <w:start w:val="1"/>
      <w:numFmt w:val="bullet"/>
      <w:lvlRestart w:val="0"/>
      <w:lvlText w:val="+"/>
      <w:lvlJc w:val="left"/>
      <w:pPr>
        <w:ind w:left="0" w:firstLine="0"/>
      </w:pPr>
      <w:rPr>
        <w:rFonts w:ascii="Arial" w:hAnsi="Arial" w:cs="Aria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743C6686"/>
    <w:multiLevelType w:val="multilevel"/>
    <w:tmpl w:val="EF5C32B2"/>
    <w:lvl w:ilvl="0">
      <w:start w:val="2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i w:val="0"/>
        <w:sz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b w:val="0"/>
        <w:i w:val="0"/>
        <w:sz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b w:val="0"/>
        <w:i w:val="0"/>
        <w:sz w:val="20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37B1B"/>
    <w:rsid w:val="001201BD"/>
    <w:rsid w:val="001E4422"/>
    <w:rsid w:val="00337B1B"/>
    <w:rsid w:val="003A153C"/>
    <w:rsid w:val="005267A5"/>
    <w:rsid w:val="00906175"/>
    <w:rsid w:val="009266D2"/>
    <w:rsid w:val="00C2657A"/>
    <w:rsid w:val="00C43399"/>
    <w:rsid w:val="00CE5A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25164A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ourier New" w:eastAsia="Courier New" w:hAnsi="Courier New" w:cs="Courier New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E442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ourier New" w:eastAsia="Courier New" w:hAnsi="Courier New" w:cs="Courier New"/>
        <w:sz w:val="24"/>
        <w:szCs w:val="24"/>
        <w:lang w:val="en-US" w:eastAsia="zh-CN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ListParagraph">
    <w:name w:val="List Paragraph"/>
    <w:basedOn w:val="Normal"/>
    <w:uiPriority w:val="34"/>
    <w:qFormat/>
    <w:rsid w:val="001E442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5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2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1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82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09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53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R7vfrM8L6Ua2yWyOWFLtgLC5KVg==">CgMxLjA4AHIhMXpSQjFXajFhakN3bnBtOUsyRDhDRTFJWHFqWUFjZlk2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271</Words>
  <Characters>1464</Characters>
  <Application>Microsoft Office Word</Application>
  <DocSecurity>0</DocSecurity>
  <Lines>12</Lines>
  <Paragraphs>3</Paragraphs>
  <ScaleCrop>false</ScaleCrop>
  <Company/>
  <LinksUpToDate>false</LinksUpToDate>
  <CharactersWithSpaces>1732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Tran Ha Anh</cp:lastModifiedBy>
  <cp:revision>10</cp:revision>
  <dcterms:created xsi:type="dcterms:W3CDTF">2024-01-12T04:05:00Z</dcterms:created>
  <dcterms:modified xsi:type="dcterms:W3CDTF">2024-01-15T06:49:00Z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a12ddfa56cae600f61f568f447ae1515b1b4df5f5fe7452f3502fdc0f9c1fa18</vt:lpwstr>
  </property>
</Properties>
</file>