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1AF66" w14:textId="77777777" w:rsidR="008F7E31" w:rsidRPr="007F498D" w:rsidRDefault="001E2A8F" w:rsidP="006841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7F498D">
        <w:rPr>
          <w:rFonts w:ascii="Arial" w:hAnsi="Arial" w:cs="Arial"/>
          <w:b/>
          <w:color w:val="010000"/>
          <w:sz w:val="20"/>
        </w:rPr>
        <w:t>DRG: Board Resolution</w:t>
      </w:r>
    </w:p>
    <w:p w14:paraId="1992AC88" w14:textId="77777777" w:rsidR="008F7E31" w:rsidRPr="007F498D" w:rsidRDefault="001E2A8F" w:rsidP="006841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On January 11, 2024, DakLak Rubber Joint Stock Company announced Resolution No. 02/NQ-HDQT as follows:</w:t>
      </w:r>
    </w:p>
    <w:p w14:paraId="2AF19408" w14:textId="779B626F" w:rsidR="008F7E31" w:rsidRPr="007F498D" w:rsidRDefault="001E2A8F" w:rsidP="006841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Article 1: The Production, business and investment plan for 2024 of Dakm</w:t>
      </w:r>
      <w:r w:rsidR="007F498D" w:rsidRPr="007F498D">
        <w:rPr>
          <w:rFonts w:ascii="Arial" w:hAnsi="Arial" w:cs="Arial"/>
          <w:color w:val="010000"/>
          <w:sz w:val="20"/>
        </w:rPr>
        <w:t>o</w:t>
      </w:r>
      <w:r w:rsidRPr="007F498D">
        <w:rPr>
          <w:rFonts w:ascii="Arial" w:hAnsi="Arial" w:cs="Arial"/>
          <w:color w:val="010000"/>
          <w:sz w:val="20"/>
        </w:rPr>
        <w:t xml:space="preserve">ruco </w:t>
      </w:r>
      <w:r w:rsidR="00125BA1" w:rsidRPr="007F498D">
        <w:rPr>
          <w:rFonts w:ascii="Arial" w:hAnsi="Arial" w:cs="Arial"/>
          <w:color w:val="010000"/>
          <w:sz w:val="20"/>
        </w:rPr>
        <w:t xml:space="preserve">is </w:t>
      </w:r>
      <w:r w:rsidRPr="007F498D">
        <w:rPr>
          <w:rFonts w:ascii="Arial" w:hAnsi="Arial" w:cs="Arial"/>
          <w:color w:val="010000"/>
          <w:sz w:val="20"/>
        </w:rPr>
        <w:t>as follows:</w:t>
      </w:r>
    </w:p>
    <w:p w14:paraId="10C8BA58" w14:textId="06534433" w:rsidR="008F7E31" w:rsidRPr="007F498D" w:rsidRDefault="001E2A8F" w:rsidP="006841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 xml:space="preserve">Approve </w:t>
      </w:r>
      <w:r w:rsidR="00125BA1" w:rsidRPr="007F498D">
        <w:rPr>
          <w:rFonts w:ascii="Arial" w:hAnsi="Arial" w:cs="Arial"/>
          <w:color w:val="010000"/>
          <w:sz w:val="20"/>
        </w:rPr>
        <w:t xml:space="preserve">assigning </w:t>
      </w:r>
      <w:r w:rsidRPr="007F498D">
        <w:rPr>
          <w:rFonts w:ascii="Arial" w:hAnsi="Arial" w:cs="Arial"/>
          <w:color w:val="010000"/>
          <w:sz w:val="20"/>
        </w:rPr>
        <w:t>the Production, business and investment plan for 2024 as follows:</w:t>
      </w:r>
    </w:p>
    <w:p w14:paraId="7FA187B9" w14:textId="77777777" w:rsidR="008F7E31" w:rsidRPr="007F498D" w:rsidRDefault="001E2A8F" w:rsidP="006841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Volume target:</w:t>
      </w:r>
    </w:p>
    <w:p w14:paraId="72E0C887" w14:textId="5CD10664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Rubber area</w:t>
      </w:r>
      <w:r w:rsidR="00F0067C" w:rsidRPr="007F498D">
        <w:rPr>
          <w:rFonts w:ascii="Arial" w:hAnsi="Arial" w:cs="Arial"/>
          <w:color w:val="010000"/>
          <w:sz w:val="20"/>
        </w:rPr>
        <w:t>:</w:t>
      </w:r>
      <w:r w:rsidRPr="007F498D">
        <w:rPr>
          <w:rFonts w:ascii="Arial" w:hAnsi="Arial" w:cs="Arial"/>
          <w:color w:val="010000"/>
          <w:sz w:val="20"/>
        </w:rPr>
        <w:t xml:space="preserve"> 1,626.77 ha; in which: Exploiting area: 1,516.80 ha; rubber area affected by pests and diseases (not exploited): 98.55 ha; rubber</w:t>
      </w:r>
      <w:r w:rsidR="005A4F8F" w:rsidRPr="007F498D">
        <w:rPr>
          <w:rFonts w:ascii="Arial" w:hAnsi="Arial" w:cs="Arial"/>
          <w:color w:val="010000"/>
          <w:sz w:val="20"/>
        </w:rPr>
        <w:t xml:space="preserve"> in vegetative phase</w:t>
      </w:r>
      <w:r w:rsidRPr="007F498D">
        <w:rPr>
          <w:rFonts w:ascii="Arial" w:hAnsi="Arial" w:cs="Arial"/>
          <w:color w:val="010000"/>
          <w:sz w:val="20"/>
        </w:rPr>
        <w:t>: 3 ha; affiliated rubber plantation: 8.42 ha.</w:t>
      </w:r>
    </w:p>
    <w:p w14:paraId="3479DADB" w14:textId="324442DD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Rubber output</w:t>
      </w:r>
      <w:r w:rsidR="005A4F8F" w:rsidRPr="007F498D">
        <w:rPr>
          <w:rFonts w:ascii="Arial" w:hAnsi="Arial" w:cs="Arial"/>
          <w:color w:val="010000"/>
          <w:sz w:val="20"/>
        </w:rPr>
        <w:t xml:space="preserve"> volume</w:t>
      </w:r>
      <w:r w:rsidRPr="007F498D">
        <w:rPr>
          <w:rFonts w:ascii="Arial" w:hAnsi="Arial" w:cs="Arial"/>
          <w:color w:val="010000"/>
          <w:sz w:val="20"/>
        </w:rPr>
        <w:t>: 3,000 tons; average yield of 1.98 tons/ha.</w:t>
      </w:r>
    </w:p>
    <w:p w14:paraId="41CDC81E" w14:textId="0A2B0270" w:rsidR="008F7E31" w:rsidRPr="007F498D" w:rsidRDefault="00B87F04" w:rsidP="006841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V</w:t>
      </w:r>
      <w:r w:rsidR="001E2A8F" w:rsidRPr="007F498D">
        <w:rPr>
          <w:rFonts w:ascii="Arial" w:hAnsi="Arial" w:cs="Arial"/>
          <w:color w:val="010000"/>
          <w:sz w:val="20"/>
        </w:rPr>
        <w:t>alue</w:t>
      </w:r>
      <w:r w:rsidRPr="007F498D">
        <w:rPr>
          <w:rFonts w:ascii="Arial" w:hAnsi="Arial" w:cs="Arial"/>
          <w:color w:val="010000"/>
          <w:sz w:val="20"/>
        </w:rPr>
        <w:t xml:space="preserve"> target:</w:t>
      </w:r>
    </w:p>
    <w:p w14:paraId="0E830875" w14:textId="5C7F1419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 xml:space="preserve">Average rubber </w:t>
      </w:r>
      <w:r w:rsidR="00477FF4" w:rsidRPr="007F498D">
        <w:rPr>
          <w:rFonts w:ascii="Arial" w:hAnsi="Arial" w:cs="Arial"/>
          <w:color w:val="010000"/>
          <w:sz w:val="20"/>
        </w:rPr>
        <w:t xml:space="preserve">latex </w:t>
      </w:r>
      <w:r w:rsidRPr="007F498D">
        <w:rPr>
          <w:rFonts w:ascii="Arial" w:hAnsi="Arial" w:cs="Arial"/>
          <w:color w:val="010000"/>
          <w:sz w:val="20"/>
        </w:rPr>
        <w:t>selling price</w:t>
      </w:r>
      <w:r w:rsidR="00477FF4" w:rsidRPr="007F498D">
        <w:rPr>
          <w:rFonts w:ascii="Arial" w:hAnsi="Arial" w:cs="Arial"/>
          <w:color w:val="010000"/>
          <w:sz w:val="20"/>
        </w:rPr>
        <w:t>:</w:t>
      </w:r>
      <w:r w:rsidRPr="007F498D">
        <w:rPr>
          <w:rFonts w:ascii="Arial" w:hAnsi="Arial" w:cs="Arial"/>
          <w:color w:val="010000"/>
          <w:sz w:val="20"/>
        </w:rPr>
        <w:t xml:space="preserve"> USD 1,333.33/ton, equivalent to KHR 5,500,000/ton</w:t>
      </w:r>
      <w:r w:rsidR="00D86715" w:rsidRPr="007F498D">
        <w:rPr>
          <w:rFonts w:ascii="Arial" w:hAnsi="Arial" w:cs="Arial"/>
          <w:color w:val="010000"/>
          <w:sz w:val="20"/>
        </w:rPr>
        <w:t xml:space="preserve">; </w:t>
      </w:r>
      <w:r w:rsidR="00D86715" w:rsidRPr="007F498D">
        <w:rPr>
          <w:rFonts w:ascii="Arial" w:hAnsi="Arial" w:cs="Arial"/>
          <w:color w:val="010000"/>
          <w:sz w:val="20"/>
        </w:rPr>
        <w:t>Average rubber latex selling price</w:t>
      </w:r>
      <w:r w:rsidR="00D86715" w:rsidRPr="007F498D">
        <w:rPr>
          <w:rFonts w:ascii="Arial" w:hAnsi="Arial" w:cs="Arial"/>
          <w:color w:val="010000"/>
          <w:sz w:val="20"/>
        </w:rPr>
        <w:t xml:space="preserve"> in VND</w:t>
      </w:r>
      <w:r w:rsidRPr="007F498D">
        <w:rPr>
          <w:rFonts w:ascii="Arial" w:hAnsi="Arial" w:cs="Arial"/>
          <w:color w:val="010000"/>
          <w:sz w:val="20"/>
        </w:rPr>
        <w:t>: VND 32,450,000/ton.</w:t>
      </w:r>
    </w:p>
    <w:p w14:paraId="53E83703" w14:textId="77777777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Production cost: VND 28,454,000/ton.</w:t>
      </w:r>
    </w:p>
    <w:p w14:paraId="0E934503" w14:textId="558560A5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Total revenue: VND 98</w:t>
      </w:r>
      <w:r w:rsidR="00E732BB" w:rsidRPr="007F498D">
        <w:rPr>
          <w:rFonts w:ascii="Arial" w:hAnsi="Arial" w:cs="Arial"/>
          <w:color w:val="010000"/>
          <w:sz w:val="20"/>
        </w:rPr>
        <w:t>,</w:t>
      </w:r>
      <w:r w:rsidRPr="007F498D">
        <w:rPr>
          <w:rFonts w:ascii="Arial" w:hAnsi="Arial" w:cs="Arial"/>
          <w:color w:val="010000"/>
          <w:sz w:val="20"/>
        </w:rPr>
        <w:t xml:space="preserve">067 </w:t>
      </w:r>
      <w:r w:rsidR="00E732BB" w:rsidRPr="007F498D">
        <w:rPr>
          <w:rFonts w:ascii="Arial" w:hAnsi="Arial" w:cs="Arial"/>
          <w:color w:val="010000"/>
          <w:sz w:val="20"/>
        </w:rPr>
        <w:t>million</w:t>
      </w:r>
      <w:r w:rsidRPr="007F498D">
        <w:rPr>
          <w:rFonts w:ascii="Arial" w:hAnsi="Arial" w:cs="Arial"/>
          <w:color w:val="010000"/>
          <w:sz w:val="20"/>
        </w:rPr>
        <w:t>, in which: Revenue from selling latex</w:t>
      </w:r>
      <w:r w:rsidR="00E732BB" w:rsidRPr="007F498D">
        <w:rPr>
          <w:rFonts w:ascii="Arial" w:hAnsi="Arial" w:cs="Arial"/>
          <w:color w:val="010000"/>
          <w:sz w:val="20"/>
        </w:rPr>
        <w:t>:</w:t>
      </w:r>
      <w:r w:rsidRPr="007F498D">
        <w:rPr>
          <w:rFonts w:ascii="Arial" w:hAnsi="Arial" w:cs="Arial"/>
          <w:color w:val="010000"/>
          <w:sz w:val="20"/>
        </w:rPr>
        <w:t xml:space="preserve"> VND 97,350 million, financial revenue and other income: VND 717 million</w:t>
      </w:r>
    </w:p>
    <w:p w14:paraId="42CB2C2D" w14:textId="2B3B53A3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 xml:space="preserve">Total expenses: VND 85,361 billion, in which: </w:t>
      </w:r>
      <w:r w:rsidR="00E732BB" w:rsidRPr="007F498D">
        <w:rPr>
          <w:rFonts w:ascii="Arial" w:hAnsi="Arial" w:cs="Arial"/>
          <w:color w:val="010000"/>
          <w:sz w:val="20"/>
        </w:rPr>
        <w:t>General e</w:t>
      </w:r>
      <w:r w:rsidRPr="007F498D">
        <w:rPr>
          <w:rFonts w:ascii="Arial" w:hAnsi="Arial" w:cs="Arial"/>
          <w:color w:val="010000"/>
          <w:sz w:val="20"/>
        </w:rPr>
        <w:t>xpenses for</w:t>
      </w:r>
      <w:r w:rsidR="00E732BB" w:rsidRPr="007F498D">
        <w:rPr>
          <w:rFonts w:ascii="Arial" w:hAnsi="Arial" w:cs="Arial"/>
          <w:color w:val="010000"/>
          <w:sz w:val="20"/>
        </w:rPr>
        <w:t xml:space="preserve"> production</w:t>
      </w:r>
      <w:r w:rsidRPr="007F498D">
        <w:rPr>
          <w:rFonts w:ascii="Arial" w:hAnsi="Arial" w:cs="Arial"/>
          <w:color w:val="010000"/>
          <w:sz w:val="20"/>
        </w:rPr>
        <w:t>: VND 17,051 million</w:t>
      </w:r>
    </w:p>
    <w:p w14:paraId="076A9B02" w14:textId="77777777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Profit before tax: VND 12,706 million</w:t>
      </w:r>
    </w:p>
    <w:p w14:paraId="1FC95B58" w14:textId="77777777" w:rsidR="008F7E31" w:rsidRPr="007F498D" w:rsidRDefault="001E2A8F" w:rsidP="006841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44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Investment targets:</w:t>
      </w:r>
    </w:p>
    <w:p w14:paraId="0AC1FA9E" w14:textId="48D2EE69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Total investment</w:t>
      </w:r>
      <w:r w:rsidR="00E732BB" w:rsidRPr="007F498D">
        <w:rPr>
          <w:rFonts w:ascii="Arial" w:hAnsi="Arial" w:cs="Arial"/>
          <w:color w:val="010000"/>
          <w:sz w:val="20"/>
        </w:rPr>
        <w:t xml:space="preserve">: </w:t>
      </w:r>
      <w:r w:rsidRPr="007F498D">
        <w:rPr>
          <w:rFonts w:ascii="Arial" w:hAnsi="Arial" w:cs="Arial"/>
          <w:color w:val="010000"/>
          <w:sz w:val="20"/>
        </w:rPr>
        <w:t>VND 3,739</w:t>
      </w:r>
      <w:r w:rsidR="00C33A92" w:rsidRPr="007F498D">
        <w:rPr>
          <w:rFonts w:ascii="Arial" w:hAnsi="Arial" w:cs="Arial"/>
          <w:color w:val="010000"/>
          <w:sz w:val="20"/>
        </w:rPr>
        <w:t xml:space="preserve"> </w:t>
      </w:r>
      <w:r w:rsidR="00C33A92" w:rsidRPr="007F498D">
        <w:rPr>
          <w:rFonts w:ascii="Arial" w:hAnsi="Arial" w:cs="Arial"/>
          <w:color w:val="010000"/>
          <w:sz w:val="20"/>
        </w:rPr>
        <w:t>million</w:t>
      </w:r>
      <w:r w:rsidRPr="007F498D">
        <w:rPr>
          <w:rFonts w:ascii="Arial" w:hAnsi="Arial" w:cs="Arial"/>
          <w:color w:val="010000"/>
          <w:sz w:val="20"/>
        </w:rPr>
        <w:t xml:space="preserve">, in which: Investment in 3 hectares of </w:t>
      </w:r>
      <w:r w:rsidR="00C33A92" w:rsidRPr="007F498D">
        <w:rPr>
          <w:rFonts w:ascii="Arial" w:hAnsi="Arial" w:cs="Arial"/>
          <w:color w:val="010000"/>
          <w:sz w:val="20"/>
        </w:rPr>
        <w:t>rubber in vegetative phase</w:t>
      </w:r>
      <w:r w:rsidR="00C33A92" w:rsidRPr="007F498D">
        <w:rPr>
          <w:rFonts w:ascii="Arial" w:hAnsi="Arial" w:cs="Arial"/>
          <w:color w:val="010000"/>
          <w:sz w:val="20"/>
        </w:rPr>
        <w:t>:</w:t>
      </w:r>
      <w:r w:rsidRPr="007F498D">
        <w:rPr>
          <w:rFonts w:ascii="Arial" w:hAnsi="Arial" w:cs="Arial"/>
          <w:color w:val="010000"/>
          <w:sz w:val="20"/>
        </w:rPr>
        <w:t xml:space="preserve"> VND 41.1 million; additional investment outside the plantation: VND 3,689 million, mainly for repairing roads, bridges, culverts, and maintaining assets.</w:t>
      </w:r>
    </w:p>
    <w:p w14:paraId="4EB822FD" w14:textId="085E6223" w:rsidR="008F7E31" w:rsidRPr="007F498D" w:rsidRDefault="001E2A8F" w:rsidP="006841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 xml:space="preserve">Article 2: The Production, business and investment plan for 2024 of </w:t>
      </w:r>
      <w:r w:rsidR="007F498D" w:rsidRPr="007F498D">
        <w:rPr>
          <w:rFonts w:ascii="Arial" w:hAnsi="Arial" w:cs="Arial"/>
          <w:color w:val="010000"/>
          <w:sz w:val="20"/>
        </w:rPr>
        <w:t>Công ty cổ phần Daknoruco (tentatively translated as Daknoruco JSC)</w:t>
      </w:r>
      <w:r w:rsidR="007F498D" w:rsidRPr="007F498D">
        <w:rPr>
          <w:rFonts w:ascii="Arial" w:hAnsi="Arial" w:cs="Arial"/>
          <w:color w:val="010000"/>
          <w:sz w:val="20"/>
        </w:rPr>
        <w:t xml:space="preserve"> </w:t>
      </w:r>
      <w:r w:rsidR="00F92984" w:rsidRPr="007F498D">
        <w:rPr>
          <w:rFonts w:ascii="Arial" w:hAnsi="Arial" w:cs="Arial"/>
          <w:color w:val="010000"/>
          <w:sz w:val="20"/>
        </w:rPr>
        <w:t xml:space="preserve">is </w:t>
      </w:r>
      <w:r w:rsidRPr="007F498D">
        <w:rPr>
          <w:rFonts w:ascii="Arial" w:hAnsi="Arial" w:cs="Arial"/>
          <w:color w:val="010000"/>
          <w:sz w:val="20"/>
        </w:rPr>
        <w:t>as follows:</w:t>
      </w:r>
    </w:p>
    <w:p w14:paraId="09232878" w14:textId="77777777" w:rsidR="008F7E31" w:rsidRPr="007F498D" w:rsidRDefault="001E2A8F" w:rsidP="006841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Volume target:</w:t>
      </w:r>
    </w:p>
    <w:p w14:paraId="24D42DEE" w14:textId="23BAEE96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 xml:space="preserve">Total area of rubber trees: 513.05 ha; in which </w:t>
      </w:r>
      <w:r w:rsidR="0017515E" w:rsidRPr="007F498D">
        <w:rPr>
          <w:rFonts w:ascii="Arial" w:hAnsi="Arial" w:cs="Arial"/>
          <w:color w:val="010000"/>
          <w:sz w:val="20"/>
        </w:rPr>
        <w:t xml:space="preserve">harvested </w:t>
      </w:r>
      <w:r w:rsidRPr="007F498D">
        <w:rPr>
          <w:rFonts w:ascii="Arial" w:hAnsi="Arial" w:cs="Arial"/>
          <w:color w:val="010000"/>
          <w:sz w:val="20"/>
        </w:rPr>
        <w:t xml:space="preserve">rubber: 171.44 ha; </w:t>
      </w:r>
      <w:r w:rsidR="00E42D0F" w:rsidRPr="007F498D">
        <w:rPr>
          <w:rFonts w:ascii="Arial" w:hAnsi="Arial" w:cs="Arial"/>
          <w:color w:val="010000"/>
          <w:sz w:val="20"/>
        </w:rPr>
        <w:t>rubber in vegetative phase</w:t>
      </w:r>
      <w:r w:rsidRPr="007F498D">
        <w:rPr>
          <w:rFonts w:ascii="Arial" w:hAnsi="Arial" w:cs="Arial"/>
          <w:color w:val="010000"/>
          <w:sz w:val="20"/>
        </w:rPr>
        <w:t>: 313.68 ha; waiting for transfer procedures: 27.93 ha.</w:t>
      </w:r>
    </w:p>
    <w:p w14:paraId="7AF2CEFC" w14:textId="3107CC3A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 xml:space="preserve">Inventory, exploited, and externally purchased rubber latex production: 707.105 tons, in which, externally purchased rubber latex: 350 tons; </w:t>
      </w:r>
      <w:r w:rsidR="00E42D0F" w:rsidRPr="007F498D">
        <w:rPr>
          <w:rFonts w:ascii="Arial" w:hAnsi="Arial" w:cs="Arial"/>
          <w:color w:val="010000"/>
          <w:sz w:val="20"/>
        </w:rPr>
        <w:t xml:space="preserve">harvested: </w:t>
      </w:r>
      <w:r w:rsidRPr="007F498D">
        <w:rPr>
          <w:rFonts w:ascii="Arial" w:hAnsi="Arial" w:cs="Arial"/>
          <w:color w:val="010000"/>
          <w:sz w:val="20"/>
        </w:rPr>
        <w:t>217.86 tons.</w:t>
      </w:r>
    </w:p>
    <w:p w14:paraId="4FFB9D58" w14:textId="61A00E54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Average</w:t>
      </w:r>
      <w:r w:rsidR="00153167" w:rsidRPr="007F498D">
        <w:rPr>
          <w:rFonts w:ascii="Arial" w:hAnsi="Arial" w:cs="Arial"/>
          <w:color w:val="010000"/>
          <w:sz w:val="20"/>
        </w:rPr>
        <w:t xml:space="preserve"> yield</w:t>
      </w:r>
      <w:r w:rsidRPr="007F498D">
        <w:rPr>
          <w:rFonts w:ascii="Arial" w:hAnsi="Arial" w:cs="Arial"/>
          <w:color w:val="010000"/>
          <w:sz w:val="20"/>
        </w:rPr>
        <w:t>: 1.27 tons/ha;</w:t>
      </w:r>
    </w:p>
    <w:p w14:paraId="02D0264B" w14:textId="77777777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Processing output in the year: 522.859 tons</w:t>
      </w:r>
    </w:p>
    <w:p w14:paraId="0659BF40" w14:textId="77777777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Consumption in the year: 545 tons</w:t>
      </w:r>
    </w:p>
    <w:p w14:paraId="3C0AAFFA" w14:textId="4A7001AB" w:rsidR="008F7E31" w:rsidRPr="007F498D" w:rsidRDefault="001E2991" w:rsidP="006841A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830"/>
          <w:tab w:val="left" w:pos="624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Value target:</w:t>
      </w:r>
    </w:p>
    <w:p w14:paraId="010DDD5C" w14:textId="5452A35A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62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lastRenderedPageBreak/>
        <w:t>Cost of agricultural production: VND 34,830,100/ton; processing cost: VND 3,311,100/ton.</w:t>
      </w:r>
    </w:p>
    <w:p w14:paraId="0BF1CAEC" w14:textId="75EB810E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62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Total revenue: VND 19,357 million, of which revenue from goods sales: VND 18,819 million; other revenue</w:t>
      </w:r>
      <w:r w:rsidR="00153167" w:rsidRPr="007F498D">
        <w:rPr>
          <w:rFonts w:ascii="Arial" w:hAnsi="Arial" w:cs="Arial"/>
          <w:color w:val="010000"/>
          <w:sz w:val="20"/>
        </w:rPr>
        <w:t xml:space="preserve">: </w:t>
      </w:r>
      <w:r w:rsidRPr="007F498D">
        <w:rPr>
          <w:rFonts w:ascii="Arial" w:hAnsi="Arial" w:cs="Arial"/>
          <w:color w:val="010000"/>
          <w:sz w:val="20"/>
        </w:rPr>
        <w:t>VND 538 million</w:t>
      </w:r>
    </w:p>
    <w:p w14:paraId="56027190" w14:textId="77777777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62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Total expenses: VND 21,164 million.</w:t>
      </w:r>
    </w:p>
    <w:p w14:paraId="36CB7EA3" w14:textId="77777777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62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Profit before tax: VND -1,807 million.</w:t>
      </w:r>
    </w:p>
    <w:p w14:paraId="37C602CA" w14:textId="77777777" w:rsidR="008F7E31" w:rsidRPr="007F498D" w:rsidRDefault="001E2A8F" w:rsidP="00684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62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Dividend payment rate: No dividend payment.</w:t>
      </w:r>
    </w:p>
    <w:p w14:paraId="4265D57A" w14:textId="77777777" w:rsidR="008F7E31" w:rsidRPr="007F498D" w:rsidRDefault="001E2A8F" w:rsidP="006841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30"/>
          <w:tab w:val="left" w:pos="624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Investment targets:</w:t>
      </w:r>
    </w:p>
    <w:p w14:paraId="57BB77D8" w14:textId="42CD6971" w:rsidR="008F7E31" w:rsidRPr="007F498D" w:rsidRDefault="001E2A8F" w:rsidP="006841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 xml:space="preserve">Investment cost: VND 6,653 million, focusing on the investment in the </w:t>
      </w:r>
      <w:r w:rsidR="00153167" w:rsidRPr="007F498D">
        <w:rPr>
          <w:rFonts w:ascii="Arial" w:hAnsi="Arial" w:cs="Arial"/>
          <w:color w:val="010000"/>
          <w:sz w:val="20"/>
        </w:rPr>
        <w:t>rubber</w:t>
      </w:r>
      <w:r w:rsidR="009B14A7" w:rsidRPr="007F498D">
        <w:rPr>
          <w:rFonts w:ascii="Arial" w:hAnsi="Arial" w:cs="Arial"/>
          <w:color w:val="010000"/>
          <w:sz w:val="20"/>
        </w:rPr>
        <w:t xml:space="preserve"> </w:t>
      </w:r>
      <w:r w:rsidR="009B14A7" w:rsidRPr="007F498D">
        <w:rPr>
          <w:rFonts w:ascii="Arial" w:hAnsi="Arial" w:cs="Arial"/>
          <w:color w:val="010000"/>
          <w:sz w:val="20"/>
        </w:rPr>
        <w:t>plantation</w:t>
      </w:r>
      <w:r w:rsidR="00153167" w:rsidRPr="007F498D">
        <w:rPr>
          <w:rFonts w:ascii="Arial" w:hAnsi="Arial" w:cs="Arial"/>
          <w:color w:val="010000"/>
          <w:sz w:val="20"/>
        </w:rPr>
        <w:t xml:space="preserve"> in </w:t>
      </w:r>
      <w:r w:rsidR="009B14A7" w:rsidRPr="007F498D">
        <w:rPr>
          <w:rFonts w:ascii="Arial" w:hAnsi="Arial" w:cs="Arial"/>
          <w:color w:val="010000"/>
          <w:sz w:val="20"/>
        </w:rPr>
        <w:t xml:space="preserve">the </w:t>
      </w:r>
      <w:r w:rsidR="00153167" w:rsidRPr="007F498D">
        <w:rPr>
          <w:rFonts w:ascii="Arial" w:hAnsi="Arial" w:cs="Arial"/>
          <w:color w:val="010000"/>
          <w:sz w:val="20"/>
        </w:rPr>
        <w:t>vegetative phase</w:t>
      </w:r>
      <w:r w:rsidRPr="007F498D">
        <w:rPr>
          <w:rFonts w:ascii="Arial" w:hAnsi="Arial" w:cs="Arial"/>
          <w:color w:val="010000"/>
          <w:sz w:val="20"/>
        </w:rPr>
        <w:t xml:space="preserve"> with an area of 313.68 ha, with an average investment cost of VND 21.2 million</w:t>
      </w:r>
      <w:r w:rsidR="009B14A7" w:rsidRPr="007F498D">
        <w:rPr>
          <w:rFonts w:ascii="Arial" w:hAnsi="Arial" w:cs="Arial"/>
          <w:color w:val="010000"/>
          <w:sz w:val="20"/>
        </w:rPr>
        <w:t>/h</w:t>
      </w:r>
      <w:r w:rsidRPr="007F498D">
        <w:rPr>
          <w:rFonts w:ascii="Arial" w:hAnsi="Arial" w:cs="Arial"/>
          <w:color w:val="010000"/>
          <w:sz w:val="20"/>
        </w:rPr>
        <w:t>a.</w:t>
      </w:r>
    </w:p>
    <w:p w14:paraId="4DF18118" w14:textId="02748A0A" w:rsidR="008F7E31" w:rsidRPr="007F498D" w:rsidRDefault="001E2A8F" w:rsidP="006841A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F498D">
        <w:rPr>
          <w:rFonts w:ascii="Arial" w:hAnsi="Arial" w:cs="Arial"/>
          <w:color w:val="010000"/>
          <w:sz w:val="20"/>
        </w:rPr>
        <w:t>Article 3: This Board Resolution takes effect from the date of its signing. Members of the Board of Directors, Dakmoruco, the Representative of Dakruco's capital at</w:t>
      </w:r>
      <w:r w:rsidR="00C404EA" w:rsidRPr="007F498D">
        <w:rPr>
          <w:rFonts w:ascii="Arial" w:hAnsi="Arial" w:cs="Arial"/>
          <w:color w:val="010000"/>
          <w:sz w:val="20"/>
        </w:rPr>
        <w:t xml:space="preserve"> Daknoruc</w:t>
      </w:r>
      <w:r w:rsidR="00E20C9F" w:rsidRPr="007F498D">
        <w:rPr>
          <w:rFonts w:ascii="Arial" w:hAnsi="Arial" w:cs="Arial"/>
          <w:color w:val="010000"/>
          <w:sz w:val="20"/>
        </w:rPr>
        <w:t>o JSC</w:t>
      </w:r>
      <w:r w:rsidRPr="007F498D">
        <w:rPr>
          <w:rFonts w:ascii="Arial" w:hAnsi="Arial" w:cs="Arial"/>
          <w:color w:val="010000"/>
          <w:sz w:val="20"/>
        </w:rPr>
        <w:t>, and the General Manager of DakLak Rubber Joint Stock Company are responsible for the implementation of this Resolution.</w:t>
      </w:r>
      <w:bookmarkEnd w:id="0"/>
    </w:p>
    <w:sectPr w:rsidR="008F7E31" w:rsidRPr="007F498D" w:rsidSect="006841AE">
      <w:footerReference w:type="default" r:id="rId8"/>
      <w:pgSz w:w="11909" w:h="16840"/>
      <w:pgMar w:top="1440" w:right="1440" w:bottom="1440" w:left="1440" w:header="698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F375F" w14:textId="77777777" w:rsidR="001E2A8F" w:rsidRDefault="001E2A8F">
      <w:r>
        <w:separator/>
      </w:r>
    </w:p>
  </w:endnote>
  <w:endnote w:type="continuationSeparator" w:id="0">
    <w:p w14:paraId="024613AF" w14:textId="77777777" w:rsidR="001E2A8F" w:rsidRDefault="001E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FA360" w14:textId="77777777" w:rsidR="008F7E31" w:rsidRDefault="001E2A8F">
    <w:pPr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C7A66BB" wp14:editId="0EC3EFC3">
              <wp:simplePos x="0" y="0"/>
              <wp:positionH relativeFrom="column">
                <wp:posOffset>2895600</wp:posOffset>
              </wp:positionH>
              <wp:positionV relativeFrom="paragraph">
                <wp:posOffset>9512300</wp:posOffset>
              </wp:positionV>
              <wp:extent cx="50800" cy="1238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5363" y="3722850"/>
                        <a:ext cx="412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1C324" w14:textId="77777777" w:rsidR="008F7E31" w:rsidRDefault="001E2A8F">
                          <w:pPr>
                            <w:textDirection w:val="btL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 xml:space="preserve"> PAGE \* MERGEFORMAT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7A66BB" id="Rectangle 1" o:spid="_x0000_s1026" style="position:absolute;margin-left:228pt;margin-top:749pt;width:4pt;height:9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" filled="f" stroked="f">
              <v:textbox inset="0,0,0,0">
                <w:txbxContent>
                  <w:p w14:paraId="0DD1C324" w14:textId="77777777" w:rsidR="008F7E31" w:rsidRDefault="001E2A8F">
                    <w:pPr>
                      <w:textDirection w:val="btLr"/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 xml:space="preserve"> PAGE \* MERGEFORMAT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#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CFD5A" w14:textId="77777777" w:rsidR="001E2A8F" w:rsidRDefault="001E2A8F">
      <w:r>
        <w:separator/>
      </w:r>
    </w:p>
  </w:footnote>
  <w:footnote w:type="continuationSeparator" w:id="0">
    <w:p w14:paraId="3034E053" w14:textId="77777777" w:rsidR="001E2A8F" w:rsidRDefault="001E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55D17"/>
    <w:multiLevelType w:val="multilevel"/>
    <w:tmpl w:val="BFE419A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0064"/>
    <w:multiLevelType w:val="multilevel"/>
    <w:tmpl w:val="0F5C79D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6FC1"/>
    <w:multiLevelType w:val="multilevel"/>
    <w:tmpl w:val="8BD039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31"/>
    <w:rsid w:val="00125BA1"/>
    <w:rsid w:val="00153167"/>
    <w:rsid w:val="0017515E"/>
    <w:rsid w:val="001E2991"/>
    <w:rsid w:val="001E2A8F"/>
    <w:rsid w:val="00374FCE"/>
    <w:rsid w:val="00477FF4"/>
    <w:rsid w:val="005A4F8F"/>
    <w:rsid w:val="006841AE"/>
    <w:rsid w:val="007F498D"/>
    <w:rsid w:val="0087708A"/>
    <w:rsid w:val="008F7E31"/>
    <w:rsid w:val="009B14A7"/>
    <w:rsid w:val="009D1226"/>
    <w:rsid w:val="00A567C1"/>
    <w:rsid w:val="00B87F04"/>
    <w:rsid w:val="00C33A92"/>
    <w:rsid w:val="00C404EA"/>
    <w:rsid w:val="00C61C68"/>
    <w:rsid w:val="00D86715"/>
    <w:rsid w:val="00E20C9F"/>
    <w:rsid w:val="00E42D0F"/>
    <w:rsid w:val="00E44883"/>
    <w:rsid w:val="00E732BB"/>
    <w:rsid w:val="00F0067C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5FEA5"/>
  <w15:docId w15:val="{C8B3FAF5-B554-429C-A8E1-1AF45766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yKyKBNvZ32Gw9w8JZCzpKuuuQ==">CgMxLjA4AHIhMW8ybkkzSk1pYkJEYVF0TWpVOHhLSzRNUHVfRGdqc0pO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436</Words>
  <Characters>2369</Characters>
  <Application>Microsoft Office Word</Application>
  <DocSecurity>0</DocSecurity>
  <Lines>45</Lines>
  <Paragraphs>35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24</cp:revision>
  <dcterms:created xsi:type="dcterms:W3CDTF">2024-01-12T04:05:00Z</dcterms:created>
  <dcterms:modified xsi:type="dcterms:W3CDTF">2024-01-14T18:48:00Z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7e15aa5ea03c002a592e73940337a5fb04cf4dca5fd38491bba5bbbf5a32c56a</vt:lpwstr>
  </property>
</Properties>
</file>