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542A6" w:rsidRPr="004A3D53" w:rsidRDefault="005D5110" w:rsidP="00A41CFF">
      <w:pPr>
        <w:tabs>
          <w:tab w:val="left" w:pos="360"/>
          <w:tab w:val="left" w:pos="432"/>
        </w:tabs>
        <w:spacing w:after="120" w:line="360" w:lineRule="auto"/>
        <w:jc w:val="both"/>
        <w:rPr>
          <w:rFonts w:ascii="Arial" w:eastAsia="Arial" w:hAnsi="Arial" w:cs="Arial"/>
          <w:b/>
          <w:color w:val="010000"/>
          <w:sz w:val="20"/>
          <w:szCs w:val="20"/>
        </w:rPr>
      </w:pPr>
      <w:r w:rsidRPr="004A3D53">
        <w:rPr>
          <w:rFonts w:ascii="Arial" w:hAnsi="Arial" w:cs="Arial"/>
          <w:b/>
          <w:bCs/>
          <w:color w:val="010000"/>
          <w:sz w:val="20"/>
        </w:rPr>
        <w:t>BCG122006:</w:t>
      </w:r>
      <w:r w:rsidRPr="004A3D53">
        <w:rPr>
          <w:rFonts w:ascii="Arial" w:hAnsi="Arial" w:cs="Arial"/>
          <w:b/>
          <w:color w:val="010000"/>
          <w:sz w:val="20"/>
        </w:rPr>
        <w:t xml:space="preserve"> Board Resolution</w:t>
      </w:r>
    </w:p>
    <w:p w14:paraId="00000002" w14:textId="664D1D8B" w:rsidR="00D542A6" w:rsidRPr="004A3D53" w:rsidRDefault="005D5110" w:rsidP="00A41CFF">
      <w:pPr>
        <w:tabs>
          <w:tab w:val="left" w:pos="360"/>
          <w:tab w:val="left" w:pos="432"/>
        </w:tabs>
        <w:spacing w:after="120" w:line="360" w:lineRule="auto"/>
        <w:jc w:val="both"/>
        <w:rPr>
          <w:rFonts w:ascii="Arial" w:eastAsia="Arial" w:hAnsi="Arial" w:cs="Arial"/>
          <w:color w:val="010000"/>
          <w:sz w:val="20"/>
          <w:szCs w:val="20"/>
        </w:rPr>
      </w:pPr>
      <w:r w:rsidRPr="004A3D53">
        <w:rPr>
          <w:rFonts w:ascii="Arial" w:hAnsi="Arial" w:cs="Arial"/>
          <w:color w:val="010000"/>
          <w:sz w:val="20"/>
        </w:rPr>
        <w:t>On January 11, 2024, Bamboo Capital Joint Stock Com</w:t>
      </w:r>
      <w:bookmarkStart w:id="0" w:name="_GoBack"/>
      <w:bookmarkEnd w:id="0"/>
      <w:r w:rsidRPr="004A3D53">
        <w:rPr>
          <w:rFonts w:ascii="Arial" w:hAnsi="Arial" w:cs="Arial"/>
          <w:color w:val="010000"/>
          <w:sz w:val="20"/>
        </w:rPr>
        <w:t xml:space="preserve">pany announced Resolution No. 03/2024/NQ-HDQT-BCG on the partial divestment of </w:t>
      </w:r>
      <w:r w:rsidR="003700C4" w:rsidRPr="004A3D53">
        <w:rPr>
          <w:rFonts w:ascii="Arial" w:hAnsi="Arial" w:cs="Arial"/>
          <w:color w:val="010000"/>
          <w:sz w:val="20"/>
        </w:rPr>
        <w:t>the</w:t>
      </w:r>
      <w:r w:rsidRPr="004A3D53">
        <w:rPr>
          <w:rFonts w:ascii="Arial" w:hAnsi="Arial" w:cs="Arial"/>
          <w:color w:val="010000"/>
          <w:sz w:val="20"/>
        </w:rPr>
        <w:t xml:space="preserve"> capital contribution at Helios Village One Member Company Limited as follows:</w:t>
      </w:r>
    </w:p>
    <w:p w14:paraId="00000003" w14:textId="77777777" w:rsidR="00D542A6" w:rsidRPr="004A3D53" w:rsidRDefault="005D5110" w:rsidP="00A41CFF">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4A3D53">
        <w:rPr>
          <w:rFonts w:ascii="Arial" w:hAnsi="Arial" w:cs="Arial"/>
          <w:color w:val="010000"/>
          <w:sz w:val="20"/>
        </w:rPr>
        <w:t>‎‎Article 1. Approve Bamboo Capital Joint Stock Company on partial divestment of its capital contribution at Helios Village One Member Company Limited</w:t>
      </w:r>
    </w:p>
    <w:p w14:paraId="00000004" w14:textId="77777777" w:rsidR="00D542A6" w:rsidRPr="004A3D53" w:rsidRDefault="005D5110" w:rsidP="00A41CFF">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4A3D53">
        <w:rPr>
          <w:rFonts w:ascii="Arial" w:hAnsi="Arial" w:cs="Arial"/>
          <w:color w:val="010000"/>
          <w:sz w:val="20"/>
        </w:rPr>
        <w:t>Details of the divestment:</w:t>
      </w:r>
    </w:p>
    <w:p w14:paraId="00000005" w14:textId="6FD88066" w:rsidR="00D542A6" w:rsidRPr="004A3D53" w:rsidRDefault="005D5110" w:rsidP="00A41CFF">
      <w:pPr>
        <w:numPr>
          <w:ilvl w:val="0"/>
          <w:numId w:val="1"/>
        </w:numPr>
        <w:pBdr>
          <w:top w:val="nil"/>
          <w:left w:val="nil"/>
          <w:bottom w:val="nil"/>
          <w:right w:val="nil"/>
          <w:between w:val="nil"/>
        </w:pBdr>
        <w:tabs>
          <w:tab w:val="left" w:pos="360"/>
          <w:tab w:val="left" w:pos="432"/>
          <w:tab w:val="left" w:pos="1442"/>
        </w:tabs>
        <w:spacing w:after="120" w:line="360" w:lineRule="auto"/>
        <w:jc w:val="both"/>
        <w:rPr>
          <w:rFonts w:ascii="Arial" w:eastAsia="Arial" w:hAnsi="Arial" w:cs="Arial"/>
          <w:color w:val="010000"/>
          <w:sz w:val="20"/>
          <w:szCs w:val="20"/>
        </w:rPr>
      </w:pPr>
      <w:r w:rsidRPr="004A3D53">
        <w:rPr>
          <w:rFonts w:ascii="Arial" w:hAnsi="Arial" w:cs="Arial"/>
          <w:color w:val="010000"/>
          <w:sz w:val="20"/>
        </w:rPr>
        <w:t xml:space="preserve">Number of </w:t>
      </w:r>
      <w:r w:rsidR="003700C4" w:rsidRPr="004A3D53">
        <w:rPr>
          <w:rFonts w:ascii="Arial" w:hAnsi="Arial" w:cs="Arial"/>
          <w:color w:val="010000"/>
          <w:sz w:val="20"/>
        </w:rPr>
        <w:t>divested</w:t>
      </w:r>
      <w:r w:rsidRPr="004A3D53">
        <w:rPr>
          <w:rFonts w:ascii="Arial" w:hAnsi="Arial" w:cs="Arial"/>
          <w:color w:val="010000"/>
          <w:sz w:val="20"/>
        </w:rPr>
        <w:t xml:space="preserve"> capital: VND 204,000,000,000, accounting for 51% of the charter capital of Helios Village One Member Company Limited</w:t>
      </w:r>
    </w:p>
    <w:p w14:paraId="00000006" w14:textId="77777777" w:rsidR="00D542A6" w:rsidRPr="004A3D53" w:rsidRDefault="005D5110" w:rsidP="00A41CFF">
      <w:pPr>
        <w:numPr>
          <w:ilvl w:val="0"/>
          <w:numId w:val="1"/>
        </w:numPr>
        <w:pBdr>
          <w:top w:val="nil"/>
          <w:left w:val="nil"/>
          <w:bottom w:val="nil"/>
          <w:right w:val="nil"/>
          <w:between w:val="nil"/>
        </w:pBdr>
        <w:tabs>
          <w:tab w:val="left" w:pos="360"/>
          <w:tab w:val="left" w:pos="432"/>
          <w:tab w:val="left" w:pos="1442"/>
        </w:tabs>
        <w:spacing w:after="120" w:line="360" w:lineRule="auto"/>
        <w:jc w:val="both"/>
        <w:rPr>
          <w:rFonts w:ascii="Arial" w:eastAsia="Arial" w:hAnsi="Arial" w:cs="Arial"/>
          <w:color w:val="010000"/>
          <w:sz w:val="20"/>
          <w:szCs w:val="20"/>
        </w:rPr>
      </w:pPr>
      <w:r w:rsidRPr="004A3D53">
        <w:rPr>
          <w:rFonts w:ascii="Arial" w:hAnsi="Arial" w:cs="Arial"/>
          <w:color w:val="010000"/>
          <w:sz w:val="20"/>
        </w:rPr>
        <w:t>Divestment form: Transfer to potential investors.</w:t>
      </w:r>
    </w:p>
    <w:p w14:paraId="00000007" w14:textId="77777777" w:rsidR="00D542A6" w:rsidRPr="004A3D53" w:rsidRDefault="005D5110" w:rsidP="00A41CFF">
      <w:pPr>
        <w:numPr>
          <w:ilvl w:val="0"/>
          <w:numId w:val="1"/>
        </w:numPr>
        <w:pBdr>
          <w:top w:val="nil"/>
          <w:left w:val="nil"/>
          <w:bottom w:val="nil"/>
          <w:right w:val="nil"/>
          <w:between w:val="nil"/>
        </w:pBdr>
        <w:tabs>
          <w:tab w:val="left" w:pos="360"/>
          <w:tab w:val="left" w:pos="432"/>
          <w:tab w:val="left" w:pos="1442"/>
        </w:tabs>
        <w:spacing w:after="120" w:line="360" w:lineRule="auto"/>
        <w:jc w:val="both"/>
        <w:rPr>
          <w:rFonts w:ascii="Arial" w:eastAsia="Arial" w:hAnsi="Arial" w:cs="Arial"/>
          <w:color w:val="010000"/>
          <w:sz w:val="20"/>
          <w:szCs w:val="20"/>
        </w:rPr>
      </w:pPr>
      <w:r w:rsidRPr="004A3D53">
        <w:rPr>
          <w:rFonts w:ascii="Arial" w:hAnsi="Arial" w:cs="Arial"/>
          <w:color w:val="010000"/>
          <w:sz w:val="20"/>
        </w:rPr>
        <w:t>Transfer price: According to the agreement to ensure the company's benefits.</w:t>
      </w:r>
    </w:p>
    <w:p w14:paraId="00000008" w14:textId="77777777" w:rsidR="00D542A6" w:rsidRPr="004A3D53" w:rsidRDefault="005D5110" w:rsidP="00A41CFF">
      <w:pPr>
        <w:numPr>
          <w:ilvl w:val="0"/>
          <w:numId w:val="1"/>
        </w:numPr>
        <w:pBdr>
          <w:top w:val="nil"/>
          <w:left w:val="nil"/>
          <w:bottom w:val="nil"/>
          <w:right w:val="nil"/>
          <w:between w:val="nil"/>
        </w:pBdr>
        <w:tabs>
          <w:tab w:val="left" w:pos="360"/>
          <w:tab w:val="left" w:pos="432"/>
          <w:tab w:val="left" w:pos="1442"/>
        </w:tabs>
        <w:spacing w:after="120" w:line="360" w:lineRule="auto"/>
        <w:jc w:val="both"/>
        <w:rPr>
          <w:rFonts w:ascii="Arial" w:eastAsia="Arial" w:hAnsi="Arial" w:cs="Arial"/>
          <w:color w:val="010000"/>
          <w:sz w:val="20"/>
          <w:szCs w:val="20"/>
        </w:rPr>
      </w:pPr>
      <w:r w:rsidRPr="004A3D53">
        <w:rPr>
          <w:rFonts w:ascii="Arial" w:hAnsi="Arial" w:cs="Arial"/>
          <w:color w:val="010000"/>
          <w:sz w:val="20"/>
        </w:rPr>
        <w:t>Ownership after transfer: VND 196,000,000,000, accounting for 49% of the charter capital of Helios Village One Member Company Limited.</w:t>
      </w:r>
    </w:p>
    <w:p w14:paraId="00000009" w14:textId="5FC2CBE1" w:rsidR="00D542A6" w:rsidRPr="004A3D53" w:rsidRDefault="005D5110" w:rsidP="00A41CFF">
      <w:pPr>
        <w:numPr>
          <w:ilvl w:val="0"/>
          <w:numId w:val="1"/>
        </w:numPr>
        <w:pBdr>
          <w:top w:val="nil"/>
          <w:left w:val="nil"/>
          <w:bottom w:val="nil"/>
          <w:right w:val="nil"/>
          <w:between w:val="nil"/>
        </w:pBdr>
        <w:tabs>
          <w:tab w:val="left" w:pos="360"/>
          <w:tab w:val="left" w:pos="432"/>
          <w:tab w:val="left" w:pos="1442"/>
        </w:tabs>
        <w:spacing w:after="120" w:line="360" w:lineRule="auto"/>
        <w:jc w:val="both"/>
        <w:rPr>
          <w:rFonts w:ascii="Arial" w:eastAsia="Arial" w:hAnsi="Arial" w:cs="Arial"/>
          <w:color w:val="010000"/>
          <w:sz w:val="20"/>
          <w:szCs w:val="20"/>
        </w:rPr>
      </w:pPr>
      <w:r w:rsidRPr="004A3D53">
        <w:rPr>
          <w:rFonts w:ascii="Arial" w:hAnsi="Arial" w:cs="Arial"/>
          <w:color w:val="010000"/>
          <w:sz w:val="20"/>
        </w:rPr>
        <w:t>Execution time: In January 2024</w:t>
      </w:r>
    </w:p>
    <w:p w14:paraId="0000000A" w14:textId="77777777" w:rsidR="00D542A6" w:rsidRPr="004A3D53" w:rsidRDefault="005D5110" w:rsidP="00A41CFF">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4A3D53">
        <w:rPr>
          <w:rFonts w:ascii="Arial" w:hAnsi="Arial" w:cs="Arial"/>
          <w:color w:val="010000"/>
          <w:sz w:val="20"/>
        </w:rPr>
        <w:t>‎‎Article 2. Agree to change the type of Helios Village One Member Company Limited from a One Member Company Limited to a Two Member Company Limited due to the result of partially transferring the capital contribution to another investor.</w:t>
      </w:r>
    </w:p>
    <w:p w14:paraId="0000000B" w14:textId="7BED5908" w:rsidR="00D542A6" w:rsidRPr="004A3D53" w:rsidRDefault="005D5110" w:rsidP="00A41CFF">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4A3D53">
        <w:rPr>
          <w:rFonts w:ascii="Arial" w:hAnsi="Arial" w:cs="Arial"/>
          <w:color w:val="010000"/>
          <w:sz w:val="20"/>
        </w:rPr>
        <w:t xml:space="preserve">Appoint the Representative of the capital contribution of the Company to carry out necessary tasks related to the transfer of the capital contribution and changes in the business type </w:t>
      </w:r>
      <w:r w:rsidR="004A3D53" w:rsidRPr="004A3D53">
        <w:rPr>
          <w:rFonts w:ascii="Arial" w:hAnsi="Arial" w:cs="Arial"/>
          <w:color w:val="010000"/>
          <w:sz w:val="20"/>
        </w:rPr>
        <w:t>after being</w:t>
      </w:r>
      <w:r w:rsidRPr="004A3D53">
        <w:rPr>
          <w:rFonts w:ascii="Arial" w:hAnsi="Arial" w:cs="Arial"/>
          <w:color w:val="010000"/>
          <w:sz w:val="20"/>
        </w:rPr>
        <w:t xml:space="preserve"> approved.</w:t>
      </w:r>
    </w:p>
    <w:p w14:paraId="0000000C" w14:textId="77777777" w:rsidR="00D542A6" w:rsidRPr="004A3D53" w:rsidRDefault="005D5110" w:rsidP="00A41CFF">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4A3D53">
        <w:rPr>
          <w:rFonts w:ascii="Arial" w:hAnsi="Arial" w:cs="Arial"/>
          <w:color w:val="010000"/>
          <w:sz w:val="20"/>
        </w:rPr>
        <w:t>‎‎Article 3. Continue appointing Mr. Le Nong as the Representative managing the entire capital contribution of Bamboo Capital Joint Stock Company. Specific contents are as follows:</w:t>
      </w:r>
    </w:p>
    <w:p w14:paraId="0000000D" w14:textId="5B7D888F" w:rsidR="00D542A6" w:rsidRPr="004A3D53" w:rsidRDefault="005D5110" w:rsidP="00A41CFF">
      <w:pPr>
        <w:numPr>
          <w:ilvl w:val="0"/>
          <w:numId w:val="1"/>
        </w:numPr>
        <w:pBdr>
          <w:top w:val="nil"/>
          <w:left w:val="nil"/>
          <w:bottom w:val="nil"/>
          <w:right w:val="nil"/>
          <w:between w:val="nil"/>
        </w:pBdr>
        <w:tabs>
          <w:tab w:val="left" w:pos="360"/>
          <w:tab w:val="left" w:pos="432"/>
          <w:tab w:val="left" w:pos="1428"/>
          <w:tab w:val="left" w:pos="3969"/>
        </w:tabs>
        <w:spacing w:after="120" w:line="360" w:lineRule="auto"/>
        <w:jc w:val="both"/>
        <w:rPr>
          <w:rFonts w:ascii="Arial" w:eastAsia="Arial" w:hAnsi="Arial" w:cs="Arial"/>
          <w:color w:val="010000"/>
          <w:sz w:val="20"/>
          <w:szCs w:val="20"/>
        </w:rPr>
      </w:pPr>
      <w:r w:rsidRPr="004A3D53">
        <w:rPr>
          <w:rFonts w:ascii="Arial" w:hAnsi="Arial" w:cs="Arial"/>
          <w:color w:val="010000"/>
          <w:sz w:val="20"/>
        </w:rPr>
        <w:t>Full name</w:t>
      </w:r>
      <w:r w:rsidR="004A3D53" w:rsidRPr="004A3D53">
        <w:rPr>
          <w:rFonts w:ascii="Arial" w:hAnsi="Arial" w:cs="Arial"/>
          <w:color w:val="010000"/>
          <w:sz w:val="20"/>
        </w:rPr>
        <w:t>:</w:t>
      </w:r>
      <w:r w:rsidRPr="004A3D53">
        <w:rPr>
          <w:rFonts w:ascii="Arial" w:hAnsi="Arial" w:cs="Arial"/>
          <w:color w:val="010000"/>
          <w:sz w:val="20"/>
        </w:rPr>
        <w:t xml:space="preserve"> LE NONG</w:t>
      </w:r>
      <w:r w:rsidRPr="004A3D53">
        <w:rPr>
          <w:rFonts w:ascii="Arial" w:hAnsi="Arial" w:cs="Arial"/>
          <w:color w:val="010000"/>
          <w:sz w:val="20"/>
        </w:rPr>
        <w:tab/>
        <w:t>Gender: Male</w:t>
      </w:r>
    </w:p>
    <w:p w14:paraId="0000000E" w14:textId="2A0BCC5F" w:rsidR="00D542A6" w:rsidRPr="004A3D53" w:rsidRDefault="005D5110" w:rsidP="00A41CFF">
      <w:pPr>
        <w:numPr>
          <w:ilvl w:val="0"/>
          <w:numId w:val="1"/>
        </w:numPr>
        <w:pBdr>
          <w:top w:val="nil"/>
          <w:left w:val="nil"/>
          <w:bottom w:val="nil"/>
          <w:right w:val="nil"/>
          <w:between w:val="nil"/>
        </w:pBdr>
        <w:tabs>
          <w:tab w:val="left" w:pos="360"/>
          <w:tab w:val="left" w:pos="432"/>
          <w:tab w:val="left" w:pos="1428"/>
          <w:tab w:val="left" w:pos="3969"/>
          <w:tab w:val="left" w:pos="6237"/>
        </w:tabs>
        <w:spacing w:after="120" w:line="360" w:lineRule="auto"/>
        <w:jc w:val="both"/>
        <w:rPr>
          <w:rFonts w:ascii="Arial" w:eastAsia="Arial" w:hAnsi="Arial" w:cs="Arial"/>
          <w:color w:val="010000"/>
          <w:sz w:val="20"/>
          <w:szCs w:val="20"/>
        </w:rPr>
      </w:pPr>
      <w:r w:rsidRPr="004A3D53">
        <w:rPr>
          <w:rFonts w:ascii="Arial" w:hAnsi="Arial" w:cs="Arial"/>
          <w:color w:val="010000"/>
          <w:sz w:val="20"/>
        </w:rPr>
        <w:t xml:space="preserve">Date of birth: June 06, 1969 </w:t>
      </w:r>
      <w:r w:rsidR="004A3D53" w:rsidRPr="004A3D53">
        <w:rPr>
          <w:rFonts w:ascii="Arial" w:hAnsi="Arial" w:cs="Arial"/>
          <w:color w:val="010000"/>
          <w:sz w:val="20"/>
        </w:rPr>
        <w:tab/>
      </w:r>
      <w:r w:rsidRPr="004A3D53">
        <w:rPr>
          <w:rFonts w:ascii="Arial" w:hAnsi="Arial" w:cs="Arial"/>
          <w:color w:val="010000"/>
          <w:sz w:val="20"/>
        </w:rPr>
        <w:t>Ethnicity: Kinh</w:t>
      </w:r>
      <w:r w:rsidR="004A3D53" w:rsidRPr="004A3D53">
        <w:rPr>
          <w:rFonts w:ascii="Arial" w:hAnsi="Arial" w:cs="Arial"/>
          <w:color w:val="010000"/>
          <w:sz w:val="20"/>
        </w:rPr>
        <w:t xml:space="preserve"> </w:t>
      </w:r>
      <w:r w:rsidR="004A3D53" w:rsidRPr="004A3D53">
        <w:rPr>
          <w:rFonts w:ascii="Arial" w:hAnsi="Arial" w:cs="Arial"/>
          <w:color w:val="010000"/>
          <w:sz w:val="20"/>
        </w:rPr>
        <w:tab/>
      </w:r>
      <w:r w:rsidRPr="004A3D53">
        <w:rPr>
          <w:rFonts w:ascii="Arial" w:hAnsi="Arial" w:cs="Arial"/>
          <w:color w:val="010000"/>
          <w:sz w:val="20"/>
        </w:rPr>
        <w:t>Nationality: Vietnamese</w:t>
      </w:r>
    </w:p>
    <w:p w14:paraId="0000000F" w14:textId="26527BDC" w:rsidR="00D542A6" w:rsidRPr="004A3D53" w:rsidRDefault="005D5110" w:rsidP="00A41CFF">
      <w:pPr>
        <w:numPr>
          <w:ilvl w:val="0"/>
          <w:numId w:val="1"/>
        </w:numPr>
        <w:pBdr>
          <w:top w:val="nil"/>
          <w:left w:val="nil"/>
          <w:bottom w:val="nil"/>
          <w:right w:val="nil"/>
          <w:between w:val="nil"/>
        </w:pBdr>
        <w:tabs>
          <w:tab w:val="left" w:pos="360"/>
          <w:tab w:val="left" w:pos="432"/>
          <w:tab w:val="left" w:pos="1428"/>
        </w:tabs>
        <w:spacing w:after="120" w:line="360" w:lineRule="auto"/>
        <w:jc w:val="both"/>
        <w:rPr>
          <w:rFonts w:ascii="Arial" w:eastAsia="Arial" w:hAnsi="Arial" w:cs="Arial"/>
          <w:color w:val="010000"/>
          <w:sz w:val="20"/>
          <w:szCs w:val="20"/>
        </w:rPr>
      </w:pPr>
      <w:r w:rsidRPr="004A3D53">
        <w:rPr>
          <w:rFonts w:ascii="Arial" w:hAnsi="Arial" w:cs="Arial"/>
          <w:color w:val="010000"/>
          <w:sz w:val="20"/>
        </w:rPr>
        <w:t xml:space="preserve">ID card </w:t>
      </w:r>
      <w:r w:rsidR="004A3D53" w:rsidRPr="004A3D53">
        <w:rPr>
          <w:rFonts w:ascii="Arial" w:hAnsi="Arial" w:cs="Arial"/>
          <w:color w:val="010000"/>
          <w:sz w:val="20"/>
        </w:rPr>
        <w:t>No.</w:t>
      </w:r>
      <w:r w:rsidRPr="004A3D53">
        <w:rPr>
          <w:rFonts w:ascii="Arial" w:hAnsi="Arial" w:cs="Arial"/>
          <w:color w:val="010000"/>
          <w:sz w:val="20"/>
        </w:rPr>
        <w:t xml:space="preserve">: 049069000121, Issue date: December 21, 2021, Place of issue: Police Department </w:t>
      </w:r>
      <w:r w:rsidR="004A3D53" w:rsidRPr="004A3D53">
        <w:rPr>
          <w:rFonts w:ascii="Arial" w:hAnsi="Arial" w:cs="Arial"/>
          <w:color w:val="010000"/>
          <w:sz w:val="20"/>
        </w:rPr>
        <w:t>for</w:t>
      </w:r>
      <w:r w:rsidRPr="004A3D53">
        <w:rPr>
          <w:rFonts w:ascii="Arial" w:hAnsi="Arial" w:cs="Arial"/>
          <w:color w:val="010000"/>
          <w:sz w:val="20"/>
        </w:rPr>
        <w:t xml:space="preserve"> Administrative Management of Social Order</w:t>
      </w:r>
    </w:p>
    <w:p w14:paraId="00000010" w14:textId="45666AE2" w:rsidR="00D542A6" w:rsidRPr="004A3D53" w:rsidRDefault="005D5110" w:rsidP="00A41CFF">
      <w:pPr>
        <w:numPr>
          <w:ilvl w:val="0"/>
          <w:numId w:val="1"/>
        </w:numPr>
        <w:pBdr>
          <w:top w:val="nil"/>
          <w:left w:val="nil"/>
          <w:bottom w:val="nil"/>
          <w:right w:val="nil"/>
          <w:between w:val="nil"/>
        </w:pBdr>
        <w:tabs>
          <w:tab w:val="left" w:pos="360"/>
          <w:tab w:val="left" w:pos="432"/>
          <w:tab w:val="left" w:pos="1428"/>
        </w:tabs>
        <w:spacing w:after="120" w:line="360" w:lineRule="auto"/>
        <w:jc w:val="both"/>
        <w:rPr>
          <w:rFonts w:ascii="Arial" w:eastAsia="Arial" w:hAnsi="Arial" w:cs="Arial"/>
          <w:color w:val="010000"/>
          <w:sz w:val="20"/>
          <w:szCs w:val="20"/>
        </w:rPr>
      </w:pPr>
      <w:r w:rsidRPr="004A3D53">
        <w:rPr>
          <w:rFonts w:ascii="Arial" w:hAnsi="Arial" w:cs="Arial"/>
          <w:color w:val="010000"/>
          <w:sz w:val="20"/>
        </w:rPr>
        <w:t>Permanent address</w:t>
      </w:r>
      <w:r w:rsidR="004A3D53" w:rsidRPr="004A3D53">
        <w:rPr>
          <w:rFonts w:ascii="Arial" w:hAnsi="Arial" w:cs="Arial"/>
          <w:color w:val="010000"/>
          <w:sz w:val="20"/>
        </w:rPr>
        <w:t>:</w:t>
      </w:r>
      <w:r w:rsidRPr="004A3D53">
        <w:rPr>
          <w:rFonts w:ascii="Arial" w:hAnsi="Arial" w:cs="Arial"/>
          <w:color w:val="010000"/>
          <w:sz w:val="20"/>
        </w:rPr>
        <w:t xml:space="preserve"> B 12.06 Hoang Anh Gia Lai I, Tan Quy, District 7, Ho Chi Minh City</w:t>
      </w:r>
    </w:p>
    <w:p w14:paraId="00000011" w14:textId="77777777" w:rsidR="00D542A6" w:rsidRPr="004A3D53" w:rsidRDefault="005D5110" w:rsidP="00A41CFF">
      <w:pPr>
        <w:numPr>
          <w:ilvl w:val="0"/>
          <w:numId w:val="1"/>
        </w:numPr>
        <w:pBdr>
          <w:top w:val="nil"/>
          <w:left w:val="nil"/>
          <w:bottom w:val="nil"/>
          <w:right w:val="nil"/>
          <w:between w:val="nil"/>
        </w:pBdr>
        <w:tabs>
          <w:tab w:val="left" w:pos="360"/>
          <w:tab w:val="left" w:pos="432"/>
          <w:tab w:val="left" w:pos="1428"/>
        </w:tabs>
        <w:spacing w:after="120" w:line="360" w:lineRule="auto"/>
        <w:jc w:val="both"/>
        <w:rPr>
          <w:rFonts w:ascii="Arial" w:eastAsia="Arial" w:hAnsi="Arial" w:cs="Arial"/>
          <w:color w:val="010000"/>
          <w:sz w:val="20"/>
          <w:szCs w:val="20"/>
        </w:rPr>
      </w:pPr>
      <w:r w:rsidRPr="004A3D53">
        <w:rPr>
          <w:rFonts w:ascii="Arial" w:hAnsi="Arial" w:cs="Arial"/>
          <w:color w:val="010000"/>
          <w:sz w:val="20"/>
        </w:rPr>
        <w:t>Contact address: B 12.06 Hoang Anh Gia Lai I, Tan Quy, District 7, Ho Chi Minh City</w:t>
      </w:r>
    </w:p>
    <w:p w14:paraId="00000012" w14:textId="77777777" w:rsidR="00D542A6" w:rsidRPr="004A3D53" w:rsidRDefault="005D5110" w:rsidP="00A41CFF">
      <w:pPr>
        <w:numPr>
          <w:ilvl w:val="0"/>
          <w:numId w:val="1"/>
        </w:numPr>
        <w:pBdr>
          <w:top w:val="nil"/>
          <w:left w:val="nil"/>
          <w:bottom w:val="nil"/>
          <w:right w:val="nil"/>
          <w:between w:val="nil"/>
        </w:pBdr>
        <w:tabs>
          <w:tab w:val="left" w:pos="360"/>
          <w:tab w:val="left" w:pos="432"/>
          <w:tab w:val="left" w:pos="1428"/>
        </w:tabs>
        <w:spacing w:after="120" w:line="360" w:lineRule="auto"/>
        <w:jc w:val="both"/>
        <w:rPr>
          <w:rFonts w:ascii="Arial" w:eastAsia="Arial" w:hAnsi="Arial" w:cs="Arial"/>
          <w:color w:val="010000"/>
          <w:sz w:val="20"/>
          <w:szCs w:val="20"/>
        </w:rPr>
      </w:pPr>
      <w:r w:rsidRPr="004A3D53">
        <w:rPr>
          <w:rFonts w:ascii="Arial" w:hAnsi="Arial" w:cs="Arial"/>
          <w:color w:val="010000"/>
          <w:sz w:val="20"/>
        </w:rPr>
        <w:t>Professional Qualification: Bachelor of Finance and Banking</w:t>
      </w:r>
    </w:p>
    <w:p w14:paraId="00000013" w14:textId="421DAE06" w:rsidR="00D542A6" w:rsidRPr="004A3D53" w:rsidRDefault="005D5110" w:rsidP="00A41CFF">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4A3D53">
        <w:rPr>
          <w:rFonts w:ascii="Arial" w:hAnsi="Arial" w:cs="Arial"/>
          <w:color w:val="010000"/>
          <w:sz w:val="20"/>
        </w:rPr>
        <w:t>The representative managing the capital contribution of Bamboo Capital Joint Stock Company at Helios Village One Member Company Limited (later changed to Helios Village Two Member Company Limited) is authorized, on behalf</w:t>
      </w:r>
      <w:r w:rsidR="004A3D53" w:rsidRPr="004A3D53">
        <w:rPr>
          <w:rFonts w:ascii="Arial" w:hAnsi="Arial" w:cs="Arial"/>
          <w:color w:val="010000"/>
          <w:sz w:val="20"/>
        </w:rPr>
        <w:t xml:space="preserve"> of</w:t>
      </w:r>
      <w:r w:rsidRPr="004A3D53">
        <w:rPr>
          <w:rFonts w:ascii="Arial" w:hAnsi="Arial" w:cs="Arial"/>
          <w:color w:val="010000"/>
          <w:sz w:val="20"/>
        </w:rPr>
        <w:t xml:space="preserve"> Bamboo Capital Joint Stock Company, to exercise all rights and obligations of Bamboo Capital Joint Stock Company as a capital-contributing member of Helios Village One Member Company Limited.</w:t>
      </w:r>
    </w:p>
    <w:p w14:paraId="00000014" w14:textId="18BB2FA0" w:rsidR="00D542A6" w:rsidRPr="004A3D53" w:rsidRDefault="005D5110" w:rsidP="00A41CFF">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4A3D53">
        <w:rPr>
          <w:rFonts w:ascii="Arial" w:hAnsi="Arial" w:cs="Arial"/>
          <w:color w:val="010000"/>
          <w:sz w:val="20"/>
        </w:rPr>
        <w:lastRenderedPageBreak/>
        <w:t>‎‎Article 4. Approve authorizing Mr. Nguyen Ho Nam</w:t>
      </w:r>
      <w:r w:rsidR="004A3D53" w:rsidRPr="004A3D53">
        <w:rPr>
          <w:rFonts w:ascii="Arial" w:hAnsi="Arial" w:cs="Arial"/>
          <w:color w:val="010000"/>
          <w:sz w:val="20"/>
        </w:rPr>
        <w:t xml:space="preserve"> -</w:t>
      </w:r>
      <w:r w:rsidRPr="004A3D53">
        <w:rPr>
          <w:rFonts w:ascii="Arial" w:hAnsi="Arial" w:cs="Arial"/>
          <w:color w:val="010000"/>
          <w:sz w:val="20"/>
        </w:rPr>
        <w:t xml:space="preserve"> The Chair of the Board of Directors or Mr. Nguyen The Tai, the General</w:t>
      </w:r>
      <w:r w:rsidR="004A3D53" w:rsidRPr="004A3D53">
        <w:rPr>
          <w:rFonts w:ascii="Arial" w:hAnsi="Arial" w:cs="Arial"/>
          <w:color w:val="010000"/>
          <w:sz w:val="20"/>
        </w:rPr>
        <w:t xml:space="preserve"> </w:t>
      </w:r>
      <w:r w:rsidRPr="004A3D53">
        <w:rPr>
          <w:rFonts w:ascii="Arial" w:hAnsi="Arial" w:cs="Arial"/>
          <w:color w:val="010000"/>
          <w:sz w:val="20"/>
        </w:rPr>
        <w:t>Manager-cum-Legal</w:t>
      </w:r>
      <w:r w:rsidR="004A3D53" w:rsidRPr="004A3D53">
        <w:rPr>
          <w:rFonts w:ascii="Arial" w:hAnsi="Arial" w:cs="Arial"/>
          <w:color w:val="010000"/>
          <w:sz w:val="20"/>
        </w:rPr>
        <w:t xml:space="preserve"> </w:t>
      </w:r>
      <w:r w:rsidRPr="004A3D53">
        <w:rPr>
          <w:rFonts w:ascii="Arial" w:hAnsi="Arial" w:cs="Arial"/>
          <w:color w:val="010000"/>
          <w:sz w:val="20"/>
        </w:rPr>
        <w:t>Representative of the Company,</w:t>
      </w:r>
      <w:r w:rsidR="004A3D53" w:rsidRPr="004A3D53">
        <w:rPr>
          <w:rFonts w:ascii="Arial" w:hAnsi="Arial" w:cs="Arial"/>
          <w:color w:val="010000"/>
          <w:sz w:val="20"/>
        </w:rPr>
        <w:t xml:space="preserve"> to seek </w:t>
      </w:r>
      <w:r w:rsidRPr="004A3D53">
        <w:rPr>
          <w:rFonts w:ascii="Arial" w:hAnsi="Arial" w:cs="Arial"/>
          <w:color w:val="010000"/>
          <w:sz w:val="20"/>
        </w:rPr>
        <w:t xml:space="preserve">investors, </w:t>
      </w:r>
      <w:r w:rsidR="004A3D53" w:rsidRPr="004A3D53">
        <w:rPr>
          <w:rFonts w:ascii="Arial" w:hAnsi="Arial" w:cs="Arial"/>
          <w:color w:val="010000"/>
          <w:sz w:val="20"/>
        </w:rPr>
        <w:t>negotiate</w:t>
      </w:r>
      <w:r w:rsidRPr="004A3D53">
        <w:rPr>
          <w:rFonts w:ascii="Arial" w:hAnsi="Arial" w:cs="Arial"/>
          <w:color w:val="010000"/>
          <w:sz w:val="20"/>
        </w:rPr>
        <w:t xml:space="preserve">, </w:t>
      </w:r>
      <w:r w:rsidR="004A3D53" w:rsidRPr="004A3D53">
        <w:rPr>
          <w:rFonts w:ascii="Arial" w:hAnsi="Arial" w:cs="Arial"/>
          <w:color w:val="010000"/>
          <w:sz w:val="20"/>
        </w:rPr>
        <w:t>discuss</w:t>
      </w:r>
      <w:r w:rsidRPr="004A3D53">
        <w:rPr>
          <w:rFonts w:ascii="Arial" w:hAnsi="Arial" w:cs="Arial"/>
          <w:color w:val="010000"/>
          <w:sz w:val="20"/>
        </w:rPr>
        <w:t xml:space="preserve">, </w:t>
      </w:r>
      <w:r w:rsidR="004A3D53" w:rsidRPr="004A3D53">
        <w:rPr>
          <w:rFonts w:ascii="Arial" w:hAnsi="Arial" w:cs="Arial"/>
          <w:color w:val="010000"/>
          <w:sz w:val="20"/>
        </w:rPr>
        <w:t>and decide</w:t>
      </w:r>
      <w:r w:rsidRPr="004A3D53">
        <w:rPr>
          <w:rFonts w:ascii="Arial" w:hAnsi="Arial" w:cs="Arial"/>
          <w:color w:val="010000"/>
          <w:sz w:val="20"/>
        </w:rPr>
        <w:t xml:space="preserve"> on the details of contracts, and </w:t>
      </w:r>
      <w:r w:rsidR="004A3D53" w:rsidRPr="004A3D53">
        <w:rPr>
          <w:rFonts w:ascii="Arial" w:hAnsi="Arial" w:cs="Arial"/>
          <w:color w:val="010000"/>
          <w:sz w:val="20"/>
        </w:rPr>
        <w:t>implement</w:t>
      </w:r>
      <w:r w:rsidRPr="004A3D53">
        <w:rPr>
          <w:rFonts w:ascii="Arial" w:hAnsi="Arial" w:cs="Arial"/>
          <w:color w:val="010000"/>
          <w:sz w:val="20"/>
        </w:rPr>
        <w:t xml:space="preserve"> relevant procedures for the transfer according to legal regulations.</w:t>
      </w:r>
    </w:p>
    <w:p w14:paraId="00000015" w14:textId="77777777" w:rsidR="00D542A6" w:rsidRPr="004A3D53" w:rsidRDefault="005D5110" w:rsidP="00A41CFF">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4A3D53">
        <w:rPr>
          <w:rFonts w:ascii="Arial" w:hAnsi="Arial" w:cs="Arial"/>
          <w:color w:val="010000"/>
          <w:sz w:val="20"/>
        </w:rPr>
        <w:t>‎‎Article 5. This Resolution takes effect from the date of its signing. Members of the Board of Directors, the Executive Board and relevant Divisions, Departments, and individuals are responsible for implementing this Resolution.</w:t>
      </w:r>
    </w:p>
    <w:sectPr w:rsidR="00D542A6" w:rsidRPr="004A3D53" w:rsidSect="005D511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24BC2"/>
    <w:multiLevelType w:val="multilevel"/>
    <w:tmpl w:val="1244295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A6"/>
    <w:rsid w:val="003700C4"/>
    <w:rsid w:val="004A3D53"/>
    <w:rsid w:val="005D5110"/>
    <w:rsid w:val="00A41CFF"/>
    <w:rsid w:val="00D542A6"/>
    <w:rsid w:val="00ED6A81"/>
    <w:rsid w:val="00F0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9jLZaQ9sr2sLLHv7r+s/DZTJQw==">CgMxLjA4AHIhMVo4aWtVRUNuUGg2dV94RmRuRm1DZDRMdE1WN1c5YlVK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2024-01-15T04:22:00Z</dcterms:created>
  <dcterms:modified xsi:type="dcterms:W3CDTF">2024-01-16T07:20:00Z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135072062f756ec35464a52833619c41bea4f0935094588def67f1710b973bbc</vt:lpwstr>
  </property>
</Properties>
</file>