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5DCD" w:rsidRPr="008E4230" w:rsidRDefault="00C05E90" w:rsidP="00E61F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E4230">
        <w:rPr>
          <w:rFonts w:ascii="Arial" w:hAnsi="Arial" w:cs="Arial"/>
          <w:b/>
          <w:bCs/>
          <w:color w:val="010000"/>
          <w:sz w:val="20"/>
        </w:rPr>
        <w:t>BVB122028:</w:t>
      </w:r>
      <w:r w:rsidRPr="008E4230">
        <w:rPr>
          <w:rFonts w:ascii="Arial" w:hAnsi="Arial" w:cs="Arial"/>
          <w:b/>
          <w:color w:val="010000"/>
          <w:sz w:val="20"/>
        </w:rPr>
        <w:t xml:space="preserve"> Information disclosure on results </w:t>
      </w:r>
      <w:bookmarkStart w:id="0" w:name="_GoBack"/>
      <w:bookmarkEnd w:id="0"/>
      <w:r w:rsidRPr="008E4230">
        <w:rPr>
          <w:rFonts w:ascii="Arial" w:hAnsi="Arial" w:cs="Arial"/>
          <w:b/>
          <w:color w:val="010000"/>
          <w:sz w:val="20"/>
        </w:rPr>
        <w:t>of public bond issuance to increase tier 2 capital in 2021-2022</w:t>
      </w:r>
    </w:p>
    <w:p w14:paraId="00000002" w14:textId="5AAF1735" w:rsidR="00B55DCD" w:rsidRPr="008E4230" w:rsidRDefault="00C05E90" w:rsidP="00E61F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 xml:space="preserve">On January 11, 2024, Viet Capital Bank announced Official Dispatch No. 137/24/BV Bank/CBTT-TC as follows: </w:t>
      </w:r>
    </w:p>
    <w:p w14:paraId="00000003" w14:textId="52C1974B" w:rsidR="00B55DCD" w:rsidRPr="008E4230" w:rsidRDefault="00C05E90" w:rsidP="00E61F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>Viet Capital Bank announced information on Decision No. 07/24/BVBank/QD-TC dated January 9, 2024 on the results of public bond issuance to increase tier 2 capital in 2021-2022 as follows:</w:t>
      </w:r>
    </w:p>
    <w:p w14:paraId="00000004" w14:textId="335F0472" w:rsidR="00B55DCD" w:rsidRPr="008E4230" w:rsidRDefault="00C05E90" w:rsidP="00E61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>Total number of bonds allowed to be offered</w:t>
      </w:r>
      <w:r w:rsidR="002E3E5F" w:rsidRPr="008E4230">
        <w:rPr>
          <w:rFonts w:ascii="Arial" w:hAnsi="Arial" w:cs="Arial"/>
          <w:color w:val="010000"/>
          <w:sz w:val="20"/>
        </w:rPr>
        <w:t>:</w:t>
      </w:r>
      <w:r w:rsidR="00B010A3" w:rsidRPr="008E4230">
        <w:rPr>
          <w:rFonts w:ascii="Arial" w:hAnsi="Arial" w:cs="Arial"/>
          <w:color w:val="010000"/>
          <w:sz w:val="20"/>
        </w:rPr>
        <w:t xml:space="preserve"> </w:t>
      </w:r>
      <w:r w:rsidRPr="008E4230">
        <w:rPr>
          <w:rFonts w:ascii="Arial" w:hAnsi="Arial" w:cs="Arial"/>
          <w:color w:val="010000"/>
          <w:sz w:val="20"/>
        </w:rPr>
        <w:t>25,000,000 bonds</w:t>
      </w:r>
    </w:p>
    <w:p w14:paraId="00000005" w14:textId="77777777" w:rsidR="00B55DCD" w:rsidRPr="008E4230" w:rsidRDefault="00C05E90" w:rsidP="00E61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>Number of bonds offered for sale in round 1: 8,191,300 bonds</w:t>
      </w:r>
    </w:p>
    <w:p w14:paraId="00000006" w14:textId="77777777" w:rsidR="00B55DCD" w:rsidRPr="008E4230" w:rsidRDefault="00C05E90" w:rsidP="00E61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>Number of bonds offered for sale in round 2: 9,677,400 bonds</w:t>
      </w:r>
    </w:p>
    <w:p w14:paraId="00000007" w14:textId="77777777" w:rsidR="00B55DCD" w:rsidRPr="008E4230" w:rsidRDefault="00C05E90" w:rsidP="00E61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>Number of bonds offered for sale in round 3: 3,843,800 bonds</w:t>
      </w:r>
    </w:p>
    <w:p w14:paraId="00000008" w14:textId="53467EB9" w:rsidR="00B55DCD" w:rsidRPr="008E4230" w:rsidRDefault="00C05E90" w:rsidP="00E61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230">
        <w:rPr>
          <w:rFonts w:ascii="Arial" w:hAnsi="Arial" w:cs="Arial"/>
          <w:color w:val="010000"/>
          <w:sz w:val="20"/>
        </w:rPr>
        <w:t xml:space="preserve">The remaining number of bonds </w:t>
      </w:r>
      <w:r w:rsidR="002E3E5F" w:rsidRPr="008E4230">
        <w:rPr>
          <w:rFonts w:ascii="Arial" w:hAnsi="Arial" w:cs="Arial"/>
          <w:color w:val="010000"/>
          <w:sz w:val="20"/>
        </w:rPr>
        <w:t>that will not</w:t>
      </w:r>
      <w:r w:rsidRPr="008E4230">
        <w:rPr>
          <w:rFonts w:ascii="Arial" w:hAnsi="Arial" w:cs="Arial"/>
          <w:color w:val="010000"/>
          <w:sz w:val="20"/>
        </w:rPr>
        <w:t xml:space="preserve"> be offered because the implementation period until 2023 has expired according to the approval of the Board of Directors: 3,287,500 bonds</w:t>
      </w:r>
    </w:p>
    <w:sectPr w:rsidR="00B55DCD" w:rsidRPr="008E4230" w:rsidSect="00B010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A22"/>
    <w:multiLevelType w:val="multilevel"/>
    <w:tmpl w:val="707E12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D"/>
    <w:rsid w:val="00055AA6"/>
    <w:rsid w:val="002E3E5F"/>
    <w:rsid w:val="0086577B"/>
    <w:rsid w:val="008E4230"/>
    <w:rsid w:val="00B010A3"/>
    <w:rsid w:val="00B55DCD"/>
    <w:rsid w:val="00C05E90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3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2M+AOwekeZK2ujaLjOKqqYVgPw==">CgMxLjA4AHIhMVg0dmt4MnBCdEc5Z1ZpX1VROUZGSm94UjJWcnBNVHBN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693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2024-01-15T04:22:00Z</dcterms:created>
  <dcterms:modified xsi:type="dcterms:W3CDTF">2024-01-16T07:29:00Z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fe21958190e5caa4261d45ecec4519bac346d4c854c318318ff58deab0b722b9</vt:lpwstr>
  </property>
</Properties>
</file>