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188E" w:rsidRPr="000D41C3" w:rsidRDefault="007E0037" w:rsidP="007E0037">
      <w:pPr>
        <w:pBdr>
          <w:top w:val="nil"/>
          <w:left w:val="nil"/>
          <w:bottom w:val="nil"/>
          <w:right w:val="nil"/>
          <w:between w:val="nil"/>
        </w:pBdr>
        <w:tabs>
          <w:tab w:val="left" w:pos="360"/>
          <w:tab w:val="left" w:pos="450"/>
          <w:tab w:val="left" w:pos="1382"/>
        </w:tabs>
        <w:spacing w:after="120" w:line="360" w:lineRule="auto"/>
        <w:rPr>
          <w:rFonts w:ascii="Arial" w:eastAsia="Arial" w:hAnsi="Arial" w:cs="Arial"/>
          <w:b/>
          <w:color w:val="010000"/>
          <w:sz w:val="20"/>
          <w:szCs w:val="20"/>
        </w:rPr>
      </w:pPr>
      <w:r w:rsidRPr="000D41C3">
        <w:rPr>
          <w:rFonts w:ascii="Arial" w:hAnsi="Arial" w:cs="Arial"/>
          <w:b/>
          <w:color w:val="010000"/>
          <w:sz w:val="20"/>
        </w:rPr>
        <w:t xml:space="preserve">PAP: Board Decision </w:t>
      </w:r>
    </w:p>
    <w:p w14:paraId="00000002" w14:textId="1D160983" w:rsidR="0068188E" w:rsidRPr="000D41C3" w:rsidRDefault="007E0037" w:rsidP="007E0037">
      <w:pPr>
        <w:pBdr>
          <w:top w:val="nil"/>
          <w:left w:val="nil"/>
          <w:bottom w:val="nil"/>
          <w:right w:val="nil"/>
          <w:between w:val="nil"/>
        </w:pBdr>
        <w:tabs>
          <w:tab w:val="left" w:pos="360"/>
          <w:tab w:val="left" w:pos="450"/>
          <w:tab w:val="left" w:pos="1382"/>
        </w:tabs>
        <w:spacing w:after="120" w:line="360" w:lineRule="auto"/>
        <w:rPr>
          <w:rFonts w:ascii="Arial" w:eastAsia="Arial" w:hAnsi="Arial" w:cs="Arial"/>
          <w:color w:val="010000"/>
          <w:sz w:val="20"/>
          <w:szCs w:val="20"/>
        </w:rPr>
      </w:pPr>
      <w:r w:rsidRPr="000D41C3">
        <w:rPr>
          <w:rFonts w:ascii="Arial" w:hAnsi="Arial" w:cs="Arial"/>
          <w:color w:val="010000"/>
          <w:sz w:val="20"/>
        </w:rPr>
        <w:t>On January 12, 2024, Petro Vietnam Phuoc An Port Investment &amp; Operation Joint Stock Company announced Decision No. 03/QD – PAP on supplementing the street sweeper supply and installation bidding package to the Contractor Selection Plan Phase 1 for the Phuoc An Port Project and Port Logistics Service Area as follows:</w:t>
      </w:r>
    </w:p>
    <w:p w14:paraId="00000003" w14:textId="174C8E19" w:rsidR="0068188E" w:rsidRPr="000D41C3" w:rsidRDefault="007E0037" w:rsidP="007E0037">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0D41C3">
        <w:rPr>
          <w:rFonts w:ascii="Arial" w:hAnsi="Arial" w:cs="Arial"/>
          <w:color w:val="010000"/>
          <w:sz w:val="20"/>
        </w:rPr>
        <w:t>Article 1: Supplement the street sweeper supply and installation bidding package to the Contractor Selection Plan Phase 1 for the Phuoc An Port Project and Port Logistics Service Area as follows:</w:t>
      </w:r>
    </w:p>
    <w:p w14:paraId="00000004" w14:textId="77777777" w:rsidR="0068188E" w:rsidRPr="000D41C3" w:rsidRDefault="007E0037" w:rsidP="007E0037">
      <w:pPr>
        <w:numPr>
          <w:ilvl w:val="0"/>
          <w:numId w:val="2"/>
        </w:numPr>
        <w:pBdr>
          <w:top w:val="nil"/>
          <w:left w:val="nil"/>
          <w:bottom w:val="nil"/>
          <w:right w:val="nil"/>
          <w:between w:val="nil"/>
        </w:pBdr>
        <w:tabs>
          <w:tab w:val="left" w:pos="360"/>
          <w:tab w:val="left" w:pos="450"/>
          <w:tab w:val="left" w:pos="1722"/>
        </w:tabs>
        <w:spacing w:after="120" w:line="360" w:lineRule="auto"/>
        <w:rPr>
          <w:rFonts w:ascii="Arial" w:eastAsia="Arial" w:hAnsi="Arial" w:cs="Arial"/>
          <w:color w:val="010000"/>
          <w:sz w:val="20"/>
          <w:szCs w:val="20"/>
        </w:rPr>
      </w:pPr>
      <w:r w:rsidRPr="000D41C3">
        <w:rPr>
          <w:rFonts w:ascii="Arial" w:hAnsi="Arial" w:cs="Arial"/>
          <w:color w:val="010000"/>
          <w:sz w:val="20"/>
        </w:rPr>
        <w:t>Information about the bidding package</w:t>
      </w:r>
    </w:p>
    <w:p w14:paraId="00000005"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6"/>
        </w:tabs>
        <w:spacing w:after="120" w:line="360" w:lineRule="auto"/>
        <w:rPr>
          <w:rFonts w:ascii="Arial" w:eastAsia="Arial" w:hAnsi="Arial" w:cs="Arial"/>
          <w:color w:val="010000"/>
          <w:sz w:val="20"/>
          <w:szCs w:val="20"/>
        </w:rPr>
      </w:pPr>
      <w:r w:rsidRPr="000D41C3">
        <w:rPr>
          <w:rFonts w:ascii="Arial" w:hAnsi="Arial" w:cs="Arial"/>
          <w:color w:val="010000"/>
          <w:sz w:val="20"/>
        </w:rPr>
        <w:t>Bidding package name: Procurement package 8 - Street Sweeper Supply and Installation.</w:t>
      </w:r>
    </w:p>
    <w:p w14:paraId="00000006"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9"/>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Quantity: 01 street sweeper. </w:t>
      </w:r>
    </w:p>
    <w:p w14:paraId="00000007" w14:textId="22297242" w:rsidR="0068188E" w:rsidRPr="000D41C3" w:rsidRDefault="007E0037" w:rsidP="007E0037">
      <w:pPr>
        <w:numPr>
          <w:ilvl w:val="0"/>
          <w:numId w:val="1"/>
        </w:numPr>
        <w:pBdr>
          <w:top w:val="nil"/>
          <w:left w:val="nil"/>
          <w:bottom w:val="nil"/>
          <w:right w:val="nil"/>
          <w:between w:val="nil"/>
        </w:pBdr>
        <w:tabs>
          <w:tab w:val="left" w:pos="360"/>
          <w:tab w:val="left" w:pos="450"/>
          <w:tab w:val="left" w:pos="1632"/>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Bidding package </w:t>
      </w:r>
      <w:r w:rsidR="000D41C3" w:rsidRPr="000D41C3">
        <w:rPr>
          <w:rFonts w:ascii="Arial" w:hAnsi="Arial" w:cs="Arial"/>
          <w:color w:val="010000"/>
          <w:sz w:val="20"/>
        </w:rPr>
        <w:t>value</w:t>
      </w:r>
      <w:r w:rsidRPr="000D41C3">
        <w:rPr>
          <w:rFonts w:ascii="Arial" w:hAnsi="Arial" w:cs="Arial"/>
          <w:color w:val="010000"/>
          <w:sz w:val="20"/>
        </w:rPr>
        <w:t>: VND 1,449,770,000, including a contingency of VND 59,770,000</w:t>
      </w:r>
    </w:p>
    <w:p w14:paraId="00000008"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9"/>
        </w:tabs>
        <w:spacing w:after="120" w:line="360" w:lineRule="auto"/>
        <w:rPr>
          <w:rFonts w:ascii="Arial" w:eastAsia="Arial" w:hAnsi="Arial" w:cs="Arial"/>
          <w:color w:val="010000"/>
          <w:sz w:val="20"/>
          <w:szCs w:val="20"/>
        </w:rPr>
      </w:pPr>
      <w:r w:rsidRPr="000D41C3">
        <w:rPr>
          <w:rFonts w:ascii="Arial" w:hAnsi="Arial" w:cs="Arial"/>
          <w:color w:val="010000"/>
          <w:sz w:val="20"/>
        </w:rPr>
        <w:t>Method of selecting a contractor: Bidder shortlisting</w:t>
      </w:r>
    </w:p>
    <w:p w14:paraId="00000009"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9"/>
        </w:tabs>
        <w:spacing w:after="120" w:line="360" w:lineRule="auto"/>
        <w:rPr>
          <w:rFonts w:ascii="Arial" w:eastAsia="Arial" w:hAnsi="Arial" w:cs="Arial"/>
          <w:color w:val="010000"/>
          <w:sz w:val="20"/>
          <w:szCs w:val="20"/>
        </w:rPr>
      </w:pPr>
      <w:r w:rsidRPr="000D41C3">
        <w:rPr>
          <w:rFonts w:ascii="Arial" w:hAnsi="Arial" w:cs="Arial"/>
          <w:color w:val="010000"/>
          <w:sz w:val="20"/>
        </w:rPr>
        <w:t>Time to start the contractor selection: Q1/2024.</w:t>
      </w:r>
    </w:p>
    <w:p w14:paraId="0000000A"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9"/>
        </w:tabs>
        <w:spacing w:after="120" w:line="360" w:lineRule="auto"/>
        <w:rPr>
          <w:rFonts w:ascii="Arial" w:eastAsia="Arial" w:hAnsi="Arial" w:cs="Arial"/>
          <w:color w:val="010000"/>
          <w:sz w:val="20"/>
          <w:szCs w:val="20"/>
        </w:rPr>
      </w:pPr>
      <w:r w:rsidRPr="000D41C3">
        <w:rPr>
          <w:rFonts w:ascii="Arial" w:hAnsi="Arial" w:cs="Arial"/>
          <w:color w:val="010000"/>
          <w:sz w:val="20"/>
        </w:rPr>
        <w:t>Contract type: Package contract</w:t>
      </w:r>
    </w:p>
    <w:p w14:paraId="0000000B"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1639"/>
        </w:tabs>
        <w:spacing w:after="120" w:line="360" w:lineRule="auto"/>
        <w:rPr>
          <w:rFonts w:ascii="Arial" w:eastAsia="Arial" w:hAnsi="Arial" w:cs="Arial"/>
          <w:color w:val="010000"/>
          <w:sz w:val="20"/>
          <w:szCs w:val="20"/>
        </w:rPr>
      </w:pPr>
      <w:r w:rsidRPr="000D41C3">
        <w:rPr>
          <w:rFonts w:ascii="Arial" w:hAnsi="Arial" w:cs="Arial"/>
          <w:color w:val="010000"/>
          <w:sz w:val="20"/>
        </w:rPr>
        <w:t>Contract execution time: 03 months</w:t>
      </w:r>
    </w:p>
    <w:p w14:paraId="0000000C" w14:textId="77777777" w:rsidR="0068188E" w:rsidRPr="000D41C3" w:rsidRDefault="007E0037" w:rsidP="007E0037">
      <w:pPr>
        <w:numPr>
          <w:ilvl w:val="0"/>
          <w:numId w:val="2"/>
        </w:numPr>
        <w:pBdr>
          <w:top w:val="nil"/>
          <w:left w:val="nil"/>
          <w:bottom w:val="nil"/>
          <w:right w:val="nil"/>
          <w:between w:val="nil"/>
        </w:pBdr>
        <w:tabs>
          <w:tab w:val="left" w:pos="360"/>
          <w:tab w:val="left" w:pos="450"/>
          <w:tab w:val="left" w:pos="1099"/>
        </w:tabs>
        <w:spacing w:after="120" w:line="360" w:lineRule="auto"/>
        <w:rPr>
          <w:rFonts w:ascii="Arial" w:eastAsia="Arial" w:hAnsi="Arial" w:cs="Arial"/>
          <w:color w:val="010000"/>
          <w:sz w:val="20"/>
          <w:szCs w:val="20"/>
        </w:rPr>
      </w:pPr>
      <w:r w:rsidRPr="000D41C3">
        <w:rPr>
          <w:rFonts w:ascii="Arial" w:hAnsi="Arial" w:cs="Arial"/>
          <w:color w:val="010000"/>
          <w:sz w:val="20"/>
        </w:rPr>
        <w:t>For the use of contingency funds</w:t>
      </w:r>
    </w:p>
    <w:p w14:paraId="0000000D" w14:textId="5FC8E1C7" w:rsidR="0068188E" w:rsidRPr="000D41C3" w:rsidRDefault="007E0037" w:rsidP="007E0037">
      <w:pPr>
        <w:numPr>
          <w:ilvl w:val="0"/>
          <w:numId w:val="1"/>
        </w:numPr>
        <w:pBdr>
          <w:top w:val="nil"/>
          <w:left w:val="nil"/>
          <w:bottom w:val="nil"/>
          <w:right w:val="nil"/>
          <w:between w:val="nil"/>
        </w:pBdr>
        <w:tabs>
          <w:tab w:val="left" w:pos="360"/>
          <w:tab w:val="left" w:pos="450"/>
          <w:tab w:val="left" w:pos="987"/>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Contingency funds are only used during the contract implementation period and are only paid </w:t>
      </w:r>
      <w:r w:rsidR="000D41C3" w:rsidRPr="000D41C3">
        <w:rPr>
          <w:rFonts w:ascii="Arial" w:hAnsi="Arial" w:cs="Arial"/>
          <w:color w:val="010000"/>
          <w:sz w:val="20"/>
        </w:rPr>
        <w:t xml:space="preserve">if </w:t>
      </w:r>
      <w:r w:rsidRPr="000D41C3">
        <w:rPr>
          <w:rFonts w:ascii="Arial" w:hAnsi="Arial" w:cs="Arial"/>
          <w:color w:val="010000"/>
          <w:sz w:val="20"/>
        </w:rPr>
        <w:t>there are actual variations in quantity, price slides, or risks (if any), the use of contingency funds for payment-settlement must comply with the current regulations.</w:t>
      </w:r>
    </w:p>
    <w:p w14:paraId="0000000E"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995"/>
        </w:tabs>
        <w:spacing w:after="120" w:line="360" w:lineRule="auto"/>
        <w:rPr>
          <w:rFonts w:ascii="Arial" w:eastAsia="Arial" w:hAnsi="Arial" w:cs="Arial"/>
          <w:color w:val="010000"/>
          <w:sz w:val="20"/>
          <w:szCs w:val="20"/>
        </w:rPr>
      </w:pPr>
      <w:r w:rsidRPr="000D41C3">
        <w:rPr>
          <w:rFonts w:ascii="Arial" w:hAnsi="Arial" w:cs="Arial"/>
          <w:color w:val="010000"/>
          <w:sz w:val="20"/>
        </w:rPr>
        <w:t>In the case where the equipment procured in the mentioned package is imported, payment will be in foreign currency. The exchange rate for the VND is currently subject to continuous changes and adjustments due to fluctuations in the global market. Therefore, the contingency cost will be used in case the exchange rate fluctuates, leading to changes in the cost of imported equipment compared to the time of contract signing.</w:t>
      </w:r>
    </w:p>
    <w:p w14:paraId="0000000F" w14:textId="76B12F02" w:rsidR="0068188E" w:rsidRPr="000D41C3" w:rsidRDefault="007E0037" w:rsidP="007E0037">
      <w:pPr>
        <w:numPr>
          <w:ilvl w:val="0"/>
          <w:numId w:val="1"/>
        </w:numPr>
        <w:pBdr>
          <w:top w:val="nil"/>
          <w:left w:val="nil"/>
          <w:bottom w:val="nil"/>
          <w:right w:val="nil"/>
          <w:between w:val="nil"/>
        </w:pBdr>
        <w:tabs>
          <w:tab w:val="left" w:pos="360"/>
          <w:tab w:val="left" w:pos="450"/>
          <w:tab w:val="left" w:pos="995"/>
        </w:tabs>
        <w:spacing w:after="120" w:line="360" w:lineRule="auto"/>
        <w:rPr>
          <w:rFonts w:ascii="Arial" w:eastAsia="Arial" w:hAnsi="Arial" w:cs="Arial"/>
          <w:color w:val="010000"/>
          <w:sz w:val="20"/>
          <w:szCs w:val="20"/>
        </w:rPr>
      </w:pPr>
      <w:r w:rsidRPr="000D41C3">
        <w:rPr>
          <w:rFonts w:ascii="Arial" w:hAnsi="Arial" w:cs="Arial"/>
          <w:color w:val="010000"/>
          <w:sz w:val="20"/>
        </w:rPr>
        <w:t>For domestically produced equipment, the equipment price usually covers the entire expense until it is delivered to the Investor. However</w:t>
      </w:r>
      <w:r w:rsidR="000D41C3" w:rsidRPr="000D41C3">
        <w:rPr>
          <w:rFonts w:ascii="Arial" w:hAnsi="Arial" w:cs="Arial"/>
          <w:color w:val="010000"/>
          <w:sz w:val="20"/>
        </w:rPr>
        <w:t xml:space="preserve">, </w:t>
      </w:r>
      <w:r w:rsidRPr="000D41C3">
        <w:rPr>
          <w:rFonts w:ascii="Arial" w:hAnsi="Arial" w:cs="Arial"/>
          <w:color w:val="010000"/>
          <w:sz w:val="20"/>
        </w:rPr>
        <w:t>imported equipment</w:t>
      </w:r>
      <w:r w:rsidR="000D41C3" w:rsidRPr="000D41C3">
        <w:rPr>
          <w:rFonts w:ascii="Arial" w:hAnsi="Arial" w:cs="Arial"/>
          <w:color w:val="010000"/>
          <w:sz w:val="20"/>
        </w:rPr>
        <w:t xml:space="preserve"> </w:t>
      </w:r>
      <w:r w:rsidRPr="000D41C3">
        <w:rPr>
          <w:rFonts w:ascii="Arial" w:hAnsi="Arial" w:cs="Arial"/>
          <w:color w:val="010000"/>
          <w:sz w:val="20"/>
        </w:rPr>
        <w:t xml:space="preserve">depends on taxes and fees at the time of import and policies of competent state agencies for each type of imported goods and equipment. Therefore, contingency </w:t>
      </w:r>
      <w:r w:rsidR="000D41C3" w:rsidRPr="000D41C3">
        <w:rPr>
          <w:rFonts w:ascii="Arial" w:hAnsi="Arial" w:cs="Arial"/>
          <w:color w:val="010000"/>
          <w:sz w:val="20"/>
        </w:rPr>
        <w:t>costs</w:t>
      </w:r>
      <w:r w:rsidRPr="000D41C3">
        <w:rPr>
          <w:rFonts w:ascii="Arial" w:hAnsi="Arial" w:cs="Arial"/>
          <w:color w:val="010000"/>
          <w:sz w:val="20"/>
        </w:rPr>
        <w:t xml:space="preserve"> will be used to comply with regulations on taxes and fees of competent state agencies at the time of importing goods and equipment. </w:t>
      </w:r>
    </w:p>
    <w:p w14:paraId="00000010" w14:textId="77777777" w:rsidR="0068188E" w:rsidRPr="000D41C3" w:rsidRDefault="007E0037" w:rsidP="007E0037">
      <w:pPr>
        <w:numPr>
          <w:ilvl w:val="0"/>
          <w:numId w:val="2"/>
        </w:numPr>
        <w:pBdr>
          <w:top w:val="nil"/>
          <w:left w:val="nil"/>
          <w:bottom w:val="nil"/>
          <w:right w:val="nil"/>
          <w:between w:val="nil"/>
        </w:pBdr>
        <w:tabs>
          <w:tab w:val="left" w:pos="360"/>
          <w:tab w:val="left" w:pos="450"/>
          <w:tab w:val="left" w:pos="9572"/>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 The Board of Directors approves: </w:t>
      </w:r>
    </w:p>
    <w:p w14:paraId="00000011"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995"/>
        </w:tabs>
        <w:spacing w:after="120" w:line="360" w:lineRule="auto"/>
        <w:rPr>
          <w:rFonts w:ascii="Arial" w:eastAsia="Arial" w:hAnsi="Arial" w:cs="Arial"/>
          <w:color w:val="010000"/>
          <w:sz w:val="20"/>
          <w:szCs w:val="20"/>
        </w:rPr>
      </w:pPr>
      <w:r w:rsidRPr="000D41C3">
        <w:rPr>
          <w:rFonts w:ascii="Arial" w:hAnsi="Arial" w:cs="Arial"/>
          <w:color w:val="010000"/>
          <w:sz w:val="20"/>
        </w:rPr>
        <w:t>Assign the General Manager of the Company to organize the selection of contractors in accordance with Resolution No. 70/NQ-PAP dated November 25, 2019 of the General Meeting of Shareholders of the company and submit it to the Board of Directors for approval.</w:t>
      </w:r>
    </w:p>
    <w:p w14:paraId="00000012" w14:textId="77777777" w:rsidR="0068188E" w:rsidRPr="000D41C3" w:rsidRDefault="007E0037" w:rsidP="007E0037">
      <w:pPr>
        <w:numPr>
          <w:ilvl w:val="0"/>
          <w:numId w:val="1"/>
        </w:numPr>
        <w:pBdr>
          <w:top w:val="nil"/>
          <w:left w:val="nil"/>
          <w:bottom w:val="nil"/>
          <w:right w:val="nil"/>
          <w:between w:val="nil"/>
        </w:pBdr>
        <w:tabs>
          <w:tab w:val="left" w:pos="360"/>
          <w:tab w:val="left" w:pos="450"/>
          <w:tab w:val="left" w:pos="998"/>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Authorize the Chair of the Board of Directors to review and approve contracts under the </w:t>
      </w:r>
      <w:r w:rsidRPr="000D41C3">
        <w:rPr>
          <w:rFonts w:ascii="Arial" w:hAnsi="Arial" w:cs="Arial"/>
          <w:color w:val="010000"/>
          <w:sz w:val="20"/>
        </w:rPr>
        <w:lastRenderedPageBreak/>
        <w:t>Contractor Selection Plan: Procurement package 8 - Supply and installation of street sweepers in accordance with the contents approved by the Board of Directors to ensure project implementation progress.</w:t>
      </w:r>
    </w:p>
    <w:p w14:paraId="00000013" w14:textId="77777777" w:rsidR="0068188E" w:rsidRPr="000D41C3" w:rsidRDefault="007E0037" w:rsidP="007E0037">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0D41C3">
        <w:rPr>
          <w:rFonts w:ascii="Arial" w:hAnsi="Arial" w:cs="Arial"/>
          <w:color w:val="010000"/>
          <w:sz w:val="20"/>
        </w:rPr>
        <w:t xml:space="preserve">Article 2: This Decision takes effect from the date of its signing. Members of the Board of Directors, the Chair of the Board of Directors and the General Manager of Petro Vietnam Phuoc An Port Investment &amp; Operation Joint Stock Company are responsible for implementing this Decision. </w:t>
      </w:r>
    </w:p>
    <w:sectPr w:rsidR="0068188E" w:rsidRPr="000D41C3" w:rsidSect="007E003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825"/>
    <w:multiLevelType w:val="multilevel"/>
    <w:tmpl w:val="F2D6A56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95D33B3"/>
    <w:multiLevelType w:val="multilevel"/>
    <w:tmpl w:val="3EACE07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E"/>
    <w:rsid w:val="000D41C3"/>
    <w:rsid w:val="0068188E"/>
    <w:rsid w:val="007742D9"/>
    <w:rsid w:val="007E0037"/>
    <w:rsid w:val="00B3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06C2"/>
  <w15:docId w15:val="{CEAC8925-9E24-4495-A2C3-AFDEF84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dTnOVqdMP3nxFNxxKGkCbCJ/w==">CgMxLjA4AHIhMXMzTkdDdGVyMDBtdDRBRDM4VHRORVF3TWtWOTVGSG5H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2518</Characters>
  <Application>Microsoft Office Word</Application>
  <DocSecurity>0</DocSecurity>
  <Lines>39</Lines>
  <Paragraphs>22</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4</cp:revision>
  <dcterms:created xsi:type="dcterms:W3CDTF">2024-01-15T03:57:00Z</dcterms:created>
  <dcterms:modified xsi:type="dcterms:W3CDTF">2024-01-16T02:35:00Z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aafacae4d6df74259446390676b76553c0f21fa02e4921624de12e30c63e9ee4</vt:lpwstr>
  </property>
</Properties>
</file>