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B41C9" w14:textId="77777777" w:rsidR="004757C7" w:rsidRPr="00327FAF" w:rsidRDefault="004757C7" w:rsidP="008476CD">
      <w:pPr>
        <w:pBdr>
          <w:top w:val="nil"/>
          <w:left w:val="nil"/>
          <w:bottom w:val="nil"/>
          <w:right w:val="nil"/>
          <w:between w:val="nil"/>
        </w:pBdr>
        <w:tabs>
          <w:tab w:val="left" w:pos="542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27FAF">
        <w:rPr>
          <w:rFonts w:ascii="Arial" w:hAnsi="Arial" w:cs="Arial"/>
          <w:b/>
          <w:color w:val="010000"/>
          <w:sz w:val="20"/>
        </w:rPr>
        <w:t>CAB: Board Resolution</w:t>
      </w:r>
    </w:p>
    <w:p w14:paraId="4F630F8A" w14:textId="77777777" w:rsidR="006D6B96" w:rsidRPr="00327FAF" w:rsidRDefault="008476CD" w:rsidP="008476CD">
      <w:pPr>
        <w:pBdr>
          <w:top w:val="nil"/>
          <w:left w:val="nil"/>
          <w:bottom w:val="nil"/>
          <w:right w:val="nil"/>
          <w:between w:val="nil"/>
        </w:pBdr>
        <w:tabs>
          <w:tab w:val="left" w:pos="54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7FAF">
        <w:rPr>
          <w:rFonts w:ascii="Arial" w:hAnsi="Arial" w:cs="Arial"/>
          <w:color w:val="010000"/>
          <w:sz w:val="20"/>
        </w:rPr>
        <w:t xml:space="preserve">On January 11, 2024, Viet Nam Television Cable Joint Stock Company announced Resolution No. 01/NQ- </w:t>
      </w:r>
      <w:proofErr w:type="spellStart"/>
      <w:r w:rsidRPr="00327FAF">
        <w:rPr>
          <w:rFonts w:ascii="Arial" w:hAnsi="Arial" w:cs="Arial"/>
          <w:color w:val="010000"/>
          <w:sz w:val="20"/>
        </w:rPr>
        <w:t>HDQT-VTVcab</w:t>
      </w:r>
      <w:proofErr w:type="spellEnd"/>
      <w:r w:rsidRPr="00327FAF">
        <w:rPr>
          <w:rFonts w:ascii="Arial" w:hAnsi="Arial" w:cs="Arial"/>
          <w:color w:val="010000"/>
          <w:sz w:val="20"/>
        </w:rPr>
        <w:t xml:space="preserve"> on adjusting 2023 business plan as follows: </w:t>
      </w:r>
    </w:p>
    <w:p w14:paraId="2657F069" w14:textId="77777777" w:rsidR="006D6B96" w:rsidRPr="00327FAF" w:rsidRDefault="008476CD" w:rsidP="00847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7FAF">
        <w:rPr>
          <w:rFonts w:ascii="Arial" w:hAnsi="Arial" w:cs="Arial"/>
          <w:color w:val="010000"/>
          <w:sz w:val="20"/>
        </w:rPr>
        <w:t>‎‎Article 1. Approve the policy of adjusting 2023 business plan, specifically as follows:</w:t>
      </w:r>
    </w:p>
    <w:p w14:paraId="16AEA65E" w14:textId="77777777" w:rsidR="006D6B96" w:rsidRPr="00327FAF" w:rsidRDefault="008476CD" w:rsidP="00847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7FAF">
        <w:rPr>
          <w:rFonts w:ascii="Arial" w:hAnsi="Arial" w:cs="Arial"/>
          <w:color w:val="010000"/>
          <w:sz w:val="20"/>
        </w:rPr>
        <w:t xml:space="preserve">(Unit: Million </w:t>
      </w:r>
      <w:proofErr w:type="spellStart"/>
      <w:r w:rsidRPr="00327FAF">
        <w:rPr>
          <w:rFonts w:ascii="Arial" w:hAnsi="Arial" w:cs="Arial"/>
          <w:color w:val="010000"/>
          <w:sz w:val="20"/>
        </w:rPr>
        <w:t>VND</w:t>
      </w:r>
      <w:proofErr w:type="spellEnd"/>
      <w:r w:rsidRPr="00327FAF">
        <w:rPr>
          <w:rFonts w:ascii="Arial" w:hAnsi="Arial" w:cs="Arial"/>
          <w:color w:val="010000"/>
          <w:sz w:val="20"/>
        </w:rPr>
        <w:t xml:space="preserve">)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8"/>
        <w:gridCol w:w="2554"/>
        <w:gridCol w:w="2950"/>
        <w:gridCol w:w="2685"/>
      </w:tblGrid>
      <w:tr w:rsidR="006D6B96" w:rsidRPr="00327FAF" w14:paraId="6B4404C8" w14:textId="77777777" w:rsidTr="008476CD"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11CCB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A7DE1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BC3F4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2023 Business plan approved by the General Meeting of Shareholders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94FB7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2023 Business plan after adjusting</w:t>
            </w:r>
          </w:p>
        </w:tc>
      </w:tr>
      <w:tr w:rsidR="006D6B96" w:rsidRPr="00327FAF" w14:paraId="26884ACF" w14:textId="77777777" w:rsidTr="008476CD"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85CAD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8219A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DF918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2,300,000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9F9FD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2,070,000</w:t>
            </w:r>
          </w:p>
        </w:tc>
      </w:tr>
      <w:tr w:rsidR="006D6B96" w:rsidRPr="00327FAF" w14:paraId="0DEA7B36" w14:textId="77777777" w:rsidTr="008476CD"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AB041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88B47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3D837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85,800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AA361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35,480</w:t>
            </w:r>
          </w:p>
        </w:tc>
      </w:tr>
      <w:tr w:rsidR="006D6B96" w:rsidRPr="00327FAF" w14:paraId="3FFE05F5" w14:textId="77777777" w:rsidTr="008476CD"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57837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1DF9F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CCA88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68,640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268DE" w14:textId="77777777" w:rsidR="006D6B96" w:rsidRPr="00327FAF" w:rsidRDefault="008476CD" w:rsidP="0084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5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7FAF">
              <w:rPr>
                <w:rFonts w:ascii="Arial" w:hAnsi="Arial" w:cs="Arial"/>
                <w:color w:val="010000"/>
                <w:sz w:val="20"/>
              </w:rPr>
              <w:t>28,384</w:t>
            </w:r>
          </w:p>
        </w:tc>
      </w:tr>
    </w:tbl>
    <w:p w14:paraId="0F3764C5" w14:textId="2C333830" w:rsidR="006D6B96" w:rsidRPr="00327FAF" w:rsidRDefault="008476CD" w:rsidP="00847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7FAF">
        <w:rPr>
          <w:rFonts w:ascii="Arial" w:hAnsi="Arial" w:cs="Arial"/>
          <w:color w:val="010000"/>
          <w:sz w:val="20"/>
        </w:rPr>
        <w:t xml:space="preserve">‎‎Article 2. Approve the plan to eliminate other objective force majeure factors affecting labor productivity and profit when determining the salary fund for employees and </w:t>
      </w:r>
      <w:r w:rsidR="00327FAF" w:rsidRPr="00327FAF">
        <w:rPr>
          <w:rFonts w:ascii="Arial" w:hAnsi="Arial" w:cs="Arial"/>
          <w:color w:val="010000"/>
          <w:sz w:val="20"/>
        </w:rPr>
        <w:t xml:space="preserve">the </w:t>
      </w:r>
      <w:r w:rsidRPr="00327FAF">
        <w:rPr>
          <w:rFonts w:ascii="Arial" w:hAnsi="Arial" w:cs="Arial"/>
          <w:color w:val="010000"/>
          <w:sz w:val="20"/>
        </w:rPr>
        <w:t>Company’s managers in 2023.</w:t>
      </w:r>
    </w:p>
    <w:p w14:paraId="5B218818" w14:textId="77777777" w:rsidR="006D6B96" w:rsidRPr="00327FAF" w:rsidRDefault="008476CD" w:rsidP="00847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7FAF">
        <w:rPr>
          <w:rFonts w:ascii="Arial" w:hAnsi="Arial" w:cs="Arial"/>
          <w:color w:val="010000"/>
          <w:sz w:val="20"/>
        </w:rPr>
        <w:t>Assign the General Manager to direct specialized units, based on instructions in current legal documents, to implement and determine the salary fund in accordance with regulations.</w:t>
      </w:r>
    </w:p>
    <w:p w14:paraId="306EF934" w14:textId="77777777" w:rsidR="006D6B96" w:rsidRPr="00327FAF" w:rsidRDefault="008476CD" w:rsidP="00847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7FAF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2C5B1CBA" w14:textId="77777777" w:rsidR="006D6B96" w:rsidRPr="00327FAF" w:rsidRDefault="008476CD" w:rsidP="00847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7FAF">
        <w:rPr>
          <w:rFonts w:ascii="Arial" w:hAnsi="Arial" w:cs="Arial"/>
          <w:color w:val="010000"/>
          <w:sz w:val="20"/>
        </w:rPr>
        <w:t>‎‎Article 4. Members of the Board of Directors, the Executive Board, Heads of relevant units, and individuals are responsible for implementing this Resolution.</w:t>
      </w:r>
    </w:p>
    <w:sectPr w:rsidR="006D6B96" w:rsidRPr="00327FAF" w:rsidSect="008476C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96"/>
    <w:rsid w:val="00327FAF"/>
    <w:rsid w:val="004757C7"/>
    <w:rsid w:val="006D6B96"/>
    <w:rsid w:val="008476CD"/>
    <w:rsid w:val="00D85B7B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03421"/>
  <w15:docId w15:val="{0D1855CC-7013-485B-A89D-D576891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y2I+w1yk/mRXyDjJZlP2aEWNJg==">CgMxLjAyCGguZ2pkZ3hzOAByITFFdGVwbzQ2UFY5R0lSbGVKQnA1eUNxN0pJQ1JrQ1QxZQ==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2024-01-17T04:01:00Z</dcterms:created>
  <dcterms:modified xsi:type="dcterms:W3CDTF">2024-01-17T04:01:00Z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81b2d37d31e7e57b2ca2cf8eb6c88863fa3bfabdd90d51a3475bed1713441160</vt:lpwstr>
  </property>
</Properties>
</file>