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915AB" w:rsidRPr="00206364" w:rsidRDefault="001B6FAE" w:rsidP="0041135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7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206364">
        <w:rPr>
          <w:rFonts w:ascii="Arial" w:hAnsi="Arial" w:cs="Arial"/>
          <w:b/>
          <w:bCs/>
          <w:color w:val="010000"/>
          <w:sz w:val="20"/>
        </w:rPr>
        <w:t>L18:</w:t>
      </w:r>
      <w:r w:rsidRPr="00206364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F915AB" w:rsidRPr="00206364" w:rsidRDefault="001B6FAE" w:rsidP="0041135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6364">
        <w:rPr>
          <w:rFonts w:ascii="Arial" w:hAnsi="Arial" w:cs="Arial"/>
          <w:color w:val="010000"/>
          <w:sz w:val="20"/>
        </w:rPr>
        <w:t>On January 16, 2024, Investment and Construction JSC No.18 announced Resolution No. 06/NQ-HDQT/LICOGI18 on the approval of the list and details of arising transactions between Investment and Construction JSC No.18 and related parties in 2024 as follows:</w:t>
      </w:r>
    </w:p>
    <w:p w14:paraId="00000003" w14:textId="77777777" w:rsidR="00F915AB" w:rsidRPr="00206364" w:rsidRDefault="001B6FAE" w:rsidP="0041135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6364">
        <w:rPr>
          <w:rFonts w:ascii="Arial" w:hAnsi="Arial" w:cs="Arial"/>
          <w:color w:val="010000"/>
          <w:sz w:val="20"/>
        </w:rPr>
        <w:t>‎‎Article 1. Approve the list of related parties of the Company having arising transactions with the Company according to legal provisions in 2024, including:</w:t>
      </w:r>
    </w:p>
    <w:p w14:paraId="00000004" w14:textId="77777777" w:rsidR="00F915AB" w:rsidRPr="00206364" w:rsidRDefault="001B6FAE" w:rsidP="004113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6364">
        <w:rPr>
          <w:rFonts w:ascii="Arial" w:hAnsi="Arial" w:cs="Arial"/>
          <w:color w:val="010000"/>
          <w:sz w:val="20"/>
        </w:rPr>
        <w:t>Subsidiaries/Joint ventures.</w:t>
      </w:r>
    </w:p>
    <w:p w14:paraId="00000005" w14:textId="688FD589" w:rsidR="00F915AB" w:rsidRPr="00206364" w:rsidRDefault="001B6FAE" w:rsidP="004113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6364">
        <w:rPr>
          <w:rFonts w:ascii="Arial" w:hAnsi="Arial" w:cs="Arial"/>
          <w:color w:val="010000"/>
          <w:sz w:val="20"/>
        </w:rPr>
        <w:t xml:space="preserve">Shareholders, authorized representatives of shareholders </w:t>
      </w:r>
      <w:r w:rsidR="002D0771">
        <w:rPr>
          <w:rFonts w:ascii="Arial" w:hAnsi="Arial" w:cs="Arial"/>
          <w:color w:val="010000"/>
          <w:sz w:val="20"/>
        </w:rPr>
        <w:t>are</w:t>
      </w:r>
      <w:r w:rsidRPr="00206364">
        <w:rPr>
          <w:rFonts w:ascii="Arial" w:hAnsi="Arial" w:cs="Arial"/>
          <w:color w:val="010000"/>
          <w:sz w:val="20"/>
        </w:rPr>
        <w:t xml:space="preserve"> organizations that own more than 10% of the total common shares of the Company and their affiliated persons.</w:t>
      </w:r>
    </w:p>
    <w:p w14:paraId="00000006" w14:textId="77777777" w:rsidR="00F915AB" w:rsidRPr="00206364" w:rsidRDefault="001B6FAE" w:rsidP="004113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6364">
        <w:rPr>
          <w:rFonts w:ascii="Arial" w:hAnsi="Arial" w:cs="Arial"/>
          <w:color w:val="010000"/>
          <w:sz w:val="20"/>
        </w:rPr>
        <w:t>PDMR and affiliated persons of PDMR.</w:t>
      </w:r>
    </w:p>
    <w:p w14:paraId="00000007" w14:textId="77777777" w:rsidR="00F915AB" w:rsidRPr="00206364" w:rsidRDefault="001B6FAE" w:rsidP="004113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6364">
        <w:rPr>
          <w:rFonts w:ascii="Arial" w:hAnsi="Arial" w:cs="Arial"/>
          <w:color w:val="010000"/>
          <w:sz w:val="20"/>
        </w:rPr>
        <w:t>Other parties related to the Company.</w:t>
      </w:r>
    </w:p>
    <w:p w14:paraId="00000008" w14:textId="77777777" w:rsidR="00F915AB" w:rsidRPr="00206364" w:rsidRDefault="001B6FAE" w:rsidP="0041135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6364">
        <w:rPr>
          <w:rFonts w:ascii="Arial" w:hAnsi="Arial" w:cs="Arial"/>
          <w:color w:val="010000"/>
          <w:sz w:val="20"/>
        </w:rPr>
        <w:t>‎‎Article 2. Approve transactions between Investment and Construction JSC No.18 and related parties (as mentioned in Article 1) with a transaction value up to 35% of the Company’s total asset value arising in 2024, including but not limited to the following listed transactions:</w:t>
      </w:r>
    </w:p>
    <w:p w14:paraId="00000009" w14:textId="77777777" w:rsidR="00F915AB" w:rsidRPr="00206364" w:rsidRDefault="001B6FAE" w:rsidP="004113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6364">
        <w:rPr>
          <w:rFonts w:ascii="Arial" w:hAnsi="Arial" w:cs="Arial"/>
          <w:color w:val="010000"/>
          <w:sz w:val="20"/>
        </w:rPr>
        <w:t>Loan/Lending, Financial Support Contract.</w:t>
      </w:r>
    </w:p>
    <w:p w14:paraId="0000000A" w14:textId="70FFD0C4" w:rsidR="00F915AB" w:rsidRPr="00206364" w:rsidRDefault="001B6FAE" w:rsidP="004113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6364">
        <w:rPr>
          <w:rFonts w:ascii="Arial" w:hAnsi="Arial" w:cs="Arial"/>
          <w:color w:val="010000"/>
          <w:sz w:val="20"/>
        </w:rPr>
        <w:t>Guarantee, Collateral</w:t>
      </w:r>
      <w:r w:rsidR="002D0771">
        <w:rPr>
          <w:rFonts w:ascii="Arial" w:hAnsi="Arial" w:cs="Arial"/>
          <w:color w:val="010000"/>
          <w:sz w:val="20"/>
        </w:rPr>
        <w:t>,</w:t>
      </w:r>
      <w:r w:rsidRPr="00206364">
        <w:rPr>
          <w:rFonts w:ascii="Arial" w:hAnsi="Arial" w:cs="Arial"/>
          <w:color w:val="010000"/>
          <w:sz w:val="20"/>
        </w:rPr>
        <w:t xml:space="preserve"> and Mortgage Contract.</w:t>
      </w:r>
    </w:p>
    <w:p w14:paraId="0000000B" w14:textId="77777777" w:rsidR="00F915AB" w:rsidRPr="00206364" w:rsidRDefault="001B6FAE" w:rsidP="004113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6364">
        <w:rPr>
          <w:rFonts w:ascii="Arial" w:hAnsi="Arial" w:cs="Arial"/>
          <w:color w:val="010000"/>
          <w:sz w:val="20"/>
        </w:rPr>
        <w:t>Property rental/lease Contract.</w:t>
      </w:r>
    </w:p>
    <w:p w14:paraId="0000000C" w14:textId="0C88B476" w:rsidR="00F915AB" w:rsidRPr="00206364" w:rsidRDefault="003D7011" w:rsidP="004113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6364">
        <w:rPr>
          <w:rFonts w:ascii="Arial" w:hAnsi="Arial" w:cs="Arial"/>
          <w:color w:val="010000"/>
          <w:sz w:val="20"/>
        </w:rPr>
        <w:t xml:space="preserve">Contracts on </w:t>
      </w:r>
      <w:r w:rsidR="001B6FAE" w:rsidRPr="00206364">
        <w:rPr>
          <w:rFonts w:ascii="Arial" w:hAnsi="Arial" w:cs="Arial"/>
          <w:color w:val="010000"/>
          <w:sz w:val="20"/>
        </w:rPr>
        <w:t>General</w:t>
      </w:r>
      <w:r w:rsidRPr="00206364">
        <w:rPr>
          <w:rFonts w:ascii="Arial" w:hAnsi="Arial" w:cs="Arial"/>
          <w:color w:val="010000"/>
          <w:sz w:val="20"/>
        </w:rPr>
        <w:t xml:space="preserve"> Contracting</w:t>
      </w:r>
      <w:r w:rsidR="001B6FAE" w:rsidRPr="00206364">
        <w:rPr>
          <w:rFonts w:ascii="Arial" w:hAnsi="Arial" w:cs="Arial"/>
          <w:color w:val="010000"/>
          <w:sz w:val="20"/>
        </w:rPr>
        <w:t xml:space="preserve">, </w:t>
      </w:r>
      <w:r w:rsidRPr="00206364">
        <w:rPr>
          <w:rFonts w:ascii="Arial" w:hAnsi="Arial" w:cs="Arial"/>
          <w:color w:val="010000"/>
          <w:sz w:val="20"/>
        </w:rPr>
        <w:t>Construction Contracting Assignment</w:t>
      </w:r>
      <w:r w:rsidR="001B6FAE" w:rsidRPr="00206364">
        <w:rPr>
          <w:rFonts w:ascii="Arial" w:hAnsi="Arial" w:cs="Arial"/>
          <w:color w:val="010000"/>
          <w:sz w:val="20"/>
        </w:rPr>
        <w:t>, Internal</w:t>
      </w:r>
      <w:r w:rsidRPr="00206364">
        <w:rPr>
          <w:rFonts w:ascii="Arial" w:hAnsi="Arial" w:cs="Arial"/>
          <w:color w:val="010000"/>
          <w:sz w:val="20"/>
        </w:rPr>
        <w:t xml:space="preserve"> Contracting</w:t>
      </w:r>
      <w:r w:rsidR="001B6FAE" w:rsidRPr="00206364">
        <w:rPr>
          <w:rFonts w:ascii="Arial" w:hAnsi="Arial" w:cs="Arial"/>
          <w:color w:val="010000"/>
          <w:sz w:val="20"/>
        </w:rPr>
        <w:t>.</w:t>
      </w:r>
    </w:p>
    <w:p w14:paraId="0000000D" w14:textId="77777777" w:rsidR="00F915AB" w:rsidRPr="00206364" w:rsidRDefault="001B6FAE" w:rsidP="004113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6364">
        <w:rPr>
          <w:rFonts w:ascii="Arial" w:hAnsi="Arial" w:cs="Arial"/>
          <w:color w:val="010000"/>
          <w:sz w:val="20"/>
        </w:rPr>
        <w:t>Transactions for the purchase and sale of goods/services/assets.</w:t>
      </w:r>
    </w:p>
    <w:p w14:paraId="0000000E" w14:textId="77777777" w:rsidR="00F915AB" w:rsidRPr="00206364" w:rsidRDefault="001B6FAE" w:rsidP="004113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6364">
        <w:rPr>
          <w:rFonts w:ascii="Arial" w:hAnsi="Arial" w:cs="Arial"/>
          <w:color w:val="010000"/>
          <w:sz w:val="20"/>
        </w:rPr>
        <w:t>Contracts for purchasing and selling securities, transferring and receiving shares.</w:t>
      </w:r>
    </w:p>
    <w:p w14:paraId="0000000F" w14:textId="77777777" w:rsidR="00F915AB" w:rsidRPr="00206364" w:rsidRDefault="001B6FAE" w:rsidP="004113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6364">
        <w:rPr>
          <w:rFonts w:ascii="Arial" w:hAnsi="Arial" w:cs="Arial"/>
          <w:color w:val="010000"/>
          <w:sz w:val="20"/>
        </w:rPr>
        <w:t>Other transactions.</w:t>
      </w:r>
    </w:p>
    <w:p w14:paraId="00000011" w14:textId="77777777" w:rsidR="00F915AB" w:rsidRPr="00206364" w:rsidRDefault="001B6FAE" w:rsidP="0041135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6364">
        <w:rPr>
          <w:rFonts w:ascii="Arial" w:hAnsi="Arial" w:cs="Arial"/>
          <w:color w:val="010000"/>
          <w:sz w:val="20"/>
        </w:rPr>
        <w:t>‎‎Article 3. Approve the authorization for the General Manager to perform the following tasks:</w:t>
      </w:r>
    </w:p>
    <w:p w14:paraId="00000012" w14:textId="0AAA01CB" w:rsidR="00F915AB" w:rsidRPr="00206364" w:rsidRDefault="001B6FAE" w:rsidP="004113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6364">
        <w:rPr>
          <w:rFonts w:ascii="Arial" w:hAnsi="Arial" w:cs="Arial"/>
          <w:color w:val="010000"/>
          <w:sz w:val="20"/>
        </w:rPr>
        <w:t xml:space="preserve">Proactively execute: Sign/amend/supplement/terminate/replace transactions/contracts with related parties according to the attached Appendix and detailed transactions and implement these transactions </w:t>
      </w:r>
      <w:r w:rsidR="00F325E1">
        <w:rPr>
          <w:rFonts w:ascii="Arial" w:hAnsi="Arial" w:cs="Arial"/>
          <w:color w:val="010000"/>
          <w:sz w:val="20"/>
        </w:rPr>
        <w:t>following</w:t>
      </w:r>
      <w:r w:rsidRPr="00206364">
        <w:rPr>
          <w:rFonts w:ascii="Arial" w:hAnsi="Arial" w:cs="Arial"/>
          <w:color w:val="010000"/>
          <w:sz w:val="20"/>
        </w:rPr>
        <w:t xml:space="preserve"> the principle of ensuring the legal rights and interests of the Company, fully complying with the current legal provisions and the Company's Charter.</w:t>
      </w:r>
    </w:p>
    <w:p w14:paraId="00000013" w14:textId="77777777" w:rsidR="00F915AB" w:rsidRPr="00206364" w:rsidRDefault="001B6FAE" w:rsidP="004113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6364">
        <w:rPr>
          <w:rFonts w:ascii="Arial" w:hAnsi="Arial" w:cs="Arial"/>
          <w:color w:val="010000"/>
          <w:sz w:val="20"/>
        </w:rPr>
        <w:t>The General Manager shall regularly/urgently report to the Board of Directors on the signed transactions as required by the Company's Charter and current legal provisions.</w:t>
      </w:r>
    </w:p>
    <w:p w14:paraId="00000014" w14:textId="77777777" w:rsidR="00F915AB" w:rsidRPr="00206364" w:rsidRDefault="001B6FAE" w:rsidP="0041135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6364">
        <w:rPr>
          <w:rFonts w:ascii="Arial" w:hAnsi="Arial" w:cs="Arial"/>
          <w:color w:val="010000"/>
          <w:sz w:val="20"/>
        </w:rPr>
        <w:t>‎‎Article 4. This Resolution takes effect from the date of its signing.</w:t>
      </w:r>
    </w:p>
    <w:p w14:paraId="00000015" w14:textId="20F8F3E7" w:rsidR="00F915AB" w:rsidRPr="00206364" w:rsidRDefault="001B6FAE" w:rsidP="0041135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206364">
        <w:rPr>
          <w:rFonts w:ascii="Arial" w:hAnsi="Arial" w:cs="Arial"/>
          <w:color w:val="010000"/>
          <w:sz w:val="20"/>
        </w:rPr>
        <w:t>Members of the Board of Directors, the General Manager, the Chief Accountant</w:t>
      </w:r>
      <w:r w:rsidR="002D0771">
        <w:rPr>
          <w:rFonts w:ascii="Arial" w:hAnsi="Arial" w:cs="Arial"/>
          <w:color w:val="010000"/>
          <w:sz w:val="20"/>
        </w:rPr>
        <w:t>,</w:t>
      </w:r>
      <w:r w:rsidRPr="00206364">
        <w:rPr>
          <w:rFonts w:ascii="Arial" w:hAnsi="Arial" w:cs="Arial"/>
          <w:color w:val="010000"/>
          <w:sz w:val="20"/>
        </w:rPr>
        <w:t xml:space="preserve"> and related parties are responsible for implementing this Resolution.</w:t>
      </w:r>
    </w:p>
    <w:sectPr w:rsidR="00F915AB" w:rsidRPr="00206364" w:rsidSect="001B6FAE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52AE3"/>
    <w:multiLevelType w:val="multilevel"/>
    <w:tmpl w:val="8D42A85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AB"/>
    <w:rsid w:val="001B6FAE"/>
    <w:rsid w:val="00206364"/>
    <w:rsid w:val="002D0771"/>
    <w:rsid w:val="003D7011"/>
    <w:rsid w:val="00411353"/>
    <w:rsid w:val="004A44BF"/>
    <w:rsid w:val="00F325E1"/>
    <w:rsid w:val="00F915AB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61F49"/>
  <w15:docId w15:val="{1D1A26AA-588C-4B6E-8540-35D6162B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eGtLleusSNFPwPaWmYnopLczHQ==">CgMxLjAyCGguZ2pkZ3hzOAByITF4bjc2bGVSWVFWZGV2WFU2QnYzbHJqX2lWSUZ5ckNQTg==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314</Words>
  <Characters>1928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2024-01-17T11:21:00Z</dcterms:created>
  <dcterms:modified xsi:type="dcterms:W3CDTF">2024-01-18T04:02:00Z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b422ef29c2f0a03dc5f82c2c461728642d26c3644e1ea8af6b4f4f0d065b7f1a</vt:lpwstr>
  </property>
</Properties>
</file>