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D451" w14:textId="77777777" w:rsidR="00097784" w:rsidRPr="00F246B4" w:rsidRDefault="00097784" w:rsidP="007F15EF">
      <w:pPr>
        <w:tabs>
          <w:tab w:val="left" w:pos="432"/>
        </w:tabs>
        <w:spacing w:after="120" w:line="360" w:lineRule="auto"/>
        <w:jc w:val="both"/>
        <w:rPr>
          <w:rFonts w:ascii="Arial" w:eastAsia="Arial" w:hAnsi="Arial" w:cs="Arial"/>
          <w:b/>
          <w:color w:val="010000"/>
          <w:sz w:val="20"/>
          <w:szCs w:val="20"/>
        </w:rPr>
      </w:pPr>
      <w:bookmarkStart w:id="0" w:name="_GoBack"/>
      <w:r w:rsidRPr="00F246B4">
        <w:rPr>
          <w:rFonts w:ascii="Arial" w:hAnsi="Arial" w:cs="Arial"/>
          <w:b/>
          <w:bCs/>
          <w:color w:val="010000"/>
          <w:sz w:val="20"/>
        </w:rPr>
        <w:t>SJ1:</w:t>
      </w:r>
      <w:r w:rsidRPr="00F246B4">
        <w:rPr>
          <w:rFonts w:ascii="Arial" w:hAnsi="Arial" w:cs="Arial"/>
          <w:b/>
          <w:color w:val="010000"/>
          <w:sz w:val="20"/>
        </w:rPr>
        <w:t xml:space="preserve"> Board Resolution</w:t>
      </w:r>
    </w:p>
    <w:p w14:paraId="00000002" w14:textId="145AB793" w:rsidR="00412447" w:rsidRPr="00F246B4" w:rsidRDefault="0029741F" w:rsidP="007F15EF">
      <w:pPr>
        <w:tabs>
          <w:tab w:val="left" w:pos="432"/>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On January 15, 2024, Hung </w:t>
      </w:r>
      <w:proofErr w:type="spellStart"/>
      <w:r w:rsidRPr="00F246B4">
        <w:rPr>
          <w:rFonts w:ascii="Arial" w:hAnsi="Arial" w:cs="Arial"/>
          <w:color w:val="010000"/>
          <w:sz w:val="20"/>
        </w:rPr>
        <w:t>Hau</w:t>
      </w:r>
      <w:proofErr w:type="spellEnd"/>
      <w:r w:rsidRPr="00F246B4">
        <w:rPr>
          <w:rFonts w:ascii="Arial" w:hAnsi="Arial" w:cs="Arial"/>
          <w:color w:val="010000"/>
          <w:sz w:val="20"/>
        </w:rPr>
        <w:t xml:space="preserve"> Agricultural Corporation announced Resolution No. 08.2024/NQ-HDQT on implementing the plan to ensure the share issuance </w:t>
      </w:r>
      <w:r w:rsidR="00CC047F" w:rsidRPr="00F246B4">
        <w:rPr>
          <w:rFonts w:ascii="Arial" w:hAnsi="Arial" w:cs="Arial"/>
          <w:color w:val="010000"/>
          <w:sz w:val="20"/>
        </w:rPr>
        <w:t>meets</w:t>
      </w:r>
      <w:r w:rsidRPr="00F246B4">
        <w:rPr>
          <w:rFonts w:ascii="Arial" w:hAnsi="Arial" w:cs="Arial"/>
          <w:color w:val="010000"/>
          <w:sz w:val="20"/>
        </w:rPr>
        <w:t xml:space="preserve"> the regulations on the foreign ownership rate as follows: </w:t>
      </w:r>
    </w:p>
    <w:p w14:paraId="00000003" w14:textId="1D9CD4D1" w:rsidR="00412447" w:rsidRPr="00F246B4" w:rsidRDefault="0029741F" w:rsidP="007F15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Article 1: Approve the plan to ensure the share issuance </w:t>
      </w:r>
      <w:r w:rsidR="00CC047F" w:rsidRPr="00F246B4">
        <w:rPr>
          <w:rFonts w:ascii="Arial" w:hAnsi="Arial" w:cs="Arial"/>
          <w:color w:val="010000"/>
          <w:sz w:val="20"/>
        </w:rPr>
        <w:t>meets</w:t>
      </w:r>
      <w:r w:rsidRPr="00F246B4">
        <w:rPr>
          <w:rFonts w:ascii="Arial" w:hAnsi="Arial" w:cs="Arial"/>
          <w:color w:val="010000"/>
          <w:sz w:val="20"/>
        </w:rPr>
        <w:t xml:space="preserve"> the regulations on the foreign ownership rate at the Corporation as follows:</w:t>
      </w:r>
    </w:p>
    <w:p w14:paraId="00000004" w14:textId="10B402D8"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Pursuant to Official Dispatch No. 3624/UBCK-PTTT dated June 13, 2022 of the State Securities Commission on the dossier on announcing the maximum foreign ownership rate at the Corporation, the maximum foreign ownership rate at the Corporation is currently 0% of the charter capital.</w:t>
      </w:r>
    </w:p>
    <w:p w14:paraId="00000005"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On the record date of the list of shareholders as of December 31, 2023, the Corporation had 16 foreign shareholders owning 19,966 shares, accounting for 0.09% of the charter capital.</w:t>
      </w:r>
    </w:p>
    <w:p w14:paraId="00000006"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Therefore, to ensure that the public offering to existing shareholders does not increase the foreign ownership rate at the Corporation (SJ1's maximum foreign ownership rate is 0%) in compliance with the provisions of law, the Board of Directors will coordinate with the Vietnam Securities Depository and Clearing Corporation (VSDC) to distribute additional shares to foreign investors following the ownership rate at the time of recording the list of shareholders to exercise rights, ensuring that shareholders (including domestic and foreign shareholders) are not allowed to transfer their purchasing rights to foreign investors.</w:t>
      </w:r>
    </w:p>
    <w:p w14:paraId="00000007"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In addition, the Board of Directors commits not to distributing shares that existing shareholders do not register to buy, do not pay to buy, and fractional shares to foreign investors to ensure that the foreign ownership rate at the Corporation is not increased.</w:t>
      </w:r>
    </w:p>
    <w:p w14:paraId="00000008" w14:textId="25A44572" w:rsidR="00412447" w:rsidRPr="00F246B4" w:rsidRDefault="0029741F" w:rsidP="007F15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Article 2: </w:t>
      </w:r>
      <w:r w:rsidR="00CC047F" w:rsidRPr="00F246B4">
        <w:rPr>
          <w:rFonts w:ascii="Arial" w:hAnsi="Arial" w:cs="Arial"/>
          <w:color w:val="010000"/>
          <w:sz w:val="20"/>
        </w:rPr>
        <w:t>Assign</w:t>
      </w:r>
      <w:r w:rsidRPr="00F246B4">
        <w:rPr>
          <w:rFonts w:ascii="Arial" w:hAnsi="Arial" w:cs="Arial"/>
          <w:color w:val="010000"/>
          <w:sz w:val="20"/>
        </w:rPr>
        <w:t xml:space="preserve"> the legal representative on behalf of the Board of Directors to sign related documents and direct the implementation of the next steps while ensuring compliance with the current regulations.</w:t>
      </w:r>
    </w:p>
    <w:p w14:paraId="00000009" w14:textId="77777777" w:rsidR="00412447" w:rsidRPr="00F246B4" w:rsidRDefault="0029741F" w:rsidP="007F15EF">
      <w:pPr>
        <w:pBdr>
          <w:top w:val="nil"/>
          <w:left w:val="nil"/>
          <w:bottom w:val="nil"/>
          <w:right w:val="nil"/>
          <w:between w:val="nil"/>
        </w:pBdr>
        <w:tabs>
          <w:tab w:val="left" w:pos="432"/>
          <w:tab w:val="left" w:pos="9442"/>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Article 3: Members of the Board of Directors and the Board of Management of Hung </w:t>
      </w:r>
      <w:proofErr w:type="spellStart"/>
      <w:r w:rsidRPr="00F246B4">
        <w:rPr>
          <w:rFonts w:ascii="Arial" w:hAnsi="Arial" w:cs="Arial"/>
          <w:color w:val="010000"/>
          <w:sz w:val="20"/>
        </w:rPr>
        <w:t>Hau</w:t>
      </w:r>
      <w:proofErr w:type="spellEnd"/>
      <w:r w:rsidRPr="00F246B4">
        <w:rPr>
          <w:rFonts w:ascii="Arial" w:hAnsi="Arial" w:cs="Arial"/>
          <w:color w:val="010000"/>
          <w:sz w:val="20"/>
        </w:rPr>
        <w:t xml:space="preserve"> Agricultural Corporation are responsible for the implementation of this Resolution. </w:t>
      </w:r>
    </w:p>
    <w:p w14:paraId="0000000A" w14:textId="77777777" w:rsidR="00412447" w:rsidRPr="00F246B4" w:rsidRDefault="0029741F" w:rsidP="007F15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46B4">
        <w:rPr>
          <w:rFonts w:ascii="Arial" w:hAnsi="Arial" w:cs="Arial"/>
          <w:color w:val="010000"/>
          <w:sz w:val="20"/>
        </w:rPr>
        <w:t>Article 4: This Resolution replaces Article 3 of Resolution No. 11.2023/NQ-HDQT dated August 8, 2023.</w:t>
      </w:r>
    </w:p>
    <w:p w14:paraId="0000000B" w14:textId="3614FB68" w:rsidR="00412447" w:rsidRPr="00F246B4" w:rsidRDefault="0029741F" w:rsidP="007F15EF">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F246B4">
        <w:rPr>
          <w:rFonts w:ascii="Arial" w:hAnsi="Arial" w:cs="Arial"/>
          <w:color w:val="010000"/>
          <w:sz w:val="20"/>
        </w:rPr>
        <w:t>This Resolution takes effect from the date of its signing</w:t>
      </w:r>
      <w:r w:rsidR="00C70895" w:rsidRPr="00F246B4">
        <w:rPr>
          <w:rFonts w:ascii="Arial" w:hAnsi="Arial" w:cs="Arial"/>
          <w:color w:val="010000"/>
          <w:sz w:val="20"/>
        </w:rPr>
        <w:t>.</w:t>
      </w:r>
    </w:p>
    <w:p w14:paraId="3FFFD590" w14:textId="044140EA" w:rsidR="00C70895" w:rsidRPr="00F246B4" w:rsidRDefault="00C70895" w:rsidP="007F15EF">
      <w:pPr>
        <w:pBdr>
          <w:top w:val="nil"/>
          <w:left w:val="nil"/>
          <w:bottom w:val="single" w:sz="12" w:space="1" w:color="auto"/>
          <w:right w:val="nil"/>
          <w:between w:val="nil"/>
        </w:pBdr>
        <w:tabs>
          <w:tab w:val="left" w:pos="432"/>
        </w:tabs>
        <w:spacing w:after="120" w:line="360" w:lineRule="auto"/>
        <w:jc w:val="both"/>
        <w:rPr>
          <w:rFonts w:ascii="Arial" w:eastAsia="Arial" w:hAnsi="Arial" w:cs="Arial"/>
          <w:color w:val="010000"/>
          <w:sz w:val="20"/>
          <w:szCs w:val="20"/>
        </w:rPr>
      </w:pPr>
    </w:p>
    <w:p w14:paraId="0000000D" w14:textId="77777777" w:rsidR="00412447" w:rsidRPr="00F246B4" w:rsidRDefault="0029741F" w:rsidP="007F15EF">
      <w:pPr>
        <w:tabs>
          <w:tab w:val="left" w:pos="432"/>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On January 15, 2024, Hung </w:t>
      </w:r>
      <w:proofErr w:type="spellStart"/>
      <w:r w:rsidRPr="00F246B4">
        <w:rPr>
          <w:rFonts w:ascii="Arial" w:hAnsi="Arial" w:cs="Arial"/>
          <w:color w:val="010000"/>
          <w:sz w:val="20"/>
        </w:rPr>
        <w:t>Hau</w:t>
      </w:r>
      <w:proofErr w:type="spellEnd"/>
      <w:r w:rsidRPr="00F246B4">
        <w:rPr>
          <w:rFonts w:ascii="Arial" w:hAnsi="Arial" w:cs="Arial"/>
          <w:color w:val="010000"/>
          <w:sz w:val="20"/>
        </w:rPr>
        <w:t xml:space="preserve"> Agricultural Corporation announced Resolution No. 09.2024/NQ-HDQT on approving the dossier for offering shares to existing shareholders as follows: </w:t>
      </w:r>
    </w:p>
    <w:p w14:paraId="0000000E" w14:textId="77777777" w:rsidR="00412447" w:rsidRPr="00F246B4" w:rsidRDefault="0029741F" w:rsidP="007F15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46B4">
        <w:rPr>
          <w:rFonts w:ascii="Arial" w:hAnsi="Arial" w:cs="Arial"/>
          <w:color w:val="010000"/>
          <w:sz w:val="20"/>
        </w:rPr>
        <w:t>Article 1: Approve the registration dossier for offering shares to existing shareholders and submitting to the State Securities Commission for approval, as follows:</w:t>
      </w:r>
    </w:p>
    <w:p w14:paraId="0000000F" w14:textId="0652517B"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Registration </w:t>
      </w:r>
      <w:r w:rsidR="00AA2525" w:rsidRPr="00F246B4">
        <w:rPr>
          <w:rFonts w:ascii="Arial" w:hAnsi="Arial" w:cs="Arial"/>
          <w:color w:val="010000"/>
          <w:sz w:val="20"/>
        </w:rPr>
        <w:t>form</w:t>
      </w:r>
      <w:r w:rsidRPr="00F246B4">
        <w:rPr>
          <w:rFonts w:ascii="Arial" w:hAnsi="Arial" w:cs="Arial"/>
          <w:color w:val="010000"/>
          <w:sz w:val="20"/>
        </w:rPr>
        <w:t xml:space="preserve"> for public offering of additional shares;</w:t>
      </w:r>
    </w:p>
    <w:p w14:paraId="00000010"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Prospectus for public offering of additional shares;</w:t>
      </w:r>
    </w:p>
    <w:p w14:paraId="00000011"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The Charter of Hung </w:t>
      </w:r>
      <w:proofErr w:type="spellStart"/>
      <w:r w:rsidRPr="00F246B4">
        <w:rPr>
          <w:rFonts w:ascii="Arial" w:hAnsi="Arial" w:cs="Arial"/>
          <w:color w:val="010000"/>
          <w:sz w:val="20"/>
        </w:rPr>
        <w:t>Hau</w:t>
      </w:r>
      <w:proofErr w:type="spellEnd"/>
      <w:r w:rsidRPr="00F246B4">
        <w:rPr>
          <w:rFonts w:ascii="Arial" w:hAnsi="Arial" w:cs="Arial"/>
          <w:color w:val="010000"/>
          <w:sz w:val="20"/>
        </w:rPr>
        <w:t xml:space="preserve"> Agricultural Corporation;</w:t>
      </w:r>
    </w:p>
    <w:p w14:paraId="00000012"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lastRenderedPageBreak/>
        <w:t>The Annual General Mandate for the fiscal year 2023 dated December 24, 2022; the Minutes of the Annual General Meeting of Shareholders for the fiscal year 2023 dated December 24, 2022 and Proposal No. 08.2023/</w:t>
      </w:r>
      <w:proofErr w:type="spellStart"/>
      <w:r w:rsidRPr="00F246B4">
        <w:rPr>
          <w:rFonts w:ascii="Arial" w:hAnsi="Arial" w:cs="Arial"/>
          <w:color w:val="010000"/>
          <w:sz w:val="20"/>
        </w:rPr>
        <w:t>TTr</w:t>
      </w:r>
      <w:proofErr w:type="spellEnd"/>
      <w:r w:rsidRPr="00F246B4">
        <w:rPr>
          <w:rFonts w:ascii="Arial" w:hAnsi="Arial" w:cs="Arial"/>
          <w:color w:val="010000"/>
          <w:sz w:val="20"/>
        </w:rPr>
        <w:t>-DHDCD dated December 03, 2022 on approving the plan on public offering to existing shareholders;</w:t>
      </w:r>
    </w:p>
    <w:p w14:paraId="00000013"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General Mandate No. 01.2023/NQ-DHDCD dated August 7, 2023 and Vote Counting Minutes of the General Meeting of Shareholders No. 01.2023/BB-DHDCD dated August 7, 2023 and Proposal No. 01.2023/</w:t>
      </w:r>
      <w:proofErr w:type="spellStart"/>
      <w:r w:rsidRPr="00F246B4">
        <w:rPr>
          <w:rFonts w:ascii="Arial" w:hAnsi="Arial" w:cs="Arial"/>
          <w:color w:val="010000"/>
          <w:sz w:val="20"/>
        </w:rPr>
        <w:t>TTr</w:t>
      </w:r>
      <w:proofErr w:type="spellEnd"/>
      <w:r w:rsidRPr="00F246B4">
        <w:rPr>
          <w:rFonts w:ascii="Arial" w:hAnsi="Arial" w:cs="Arial"/>
          <w:color w:val="010000"/>
          <w:sz w:val="20"/>
        </w:rPr>
        <w:t>-DHDCD dated July 23, 2023 on the detailed plan to use proceeds from the share offering to existing shareholders of the Corporation;</w:t>
      </w:r>
    </w:p>
    <w:p w14:paraId="00000015"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Annual General Mandate for the fiscal year 2024 No. 01.2024/NQ-DHDCD dated December 29, 2023 and Proposal No. 05.2024/</w:t>
      </w:r>
      <w:proofErr w:type="spellStart"/>
      <w:r w:rsidRPr="00F246B4">
        <w:rPr>
          <w:rFonts w:ascii="Arial" w:hAnsi="Arial" w:cs="Arial"/>
          <w:color w:val="010000"/>
          <w:sz w:val="20"/>
        </w:rPr>
        <w:t>TTr</w:t>
      </w:r>
      <w:proofErr w:type="spellEnd"/>
      <w:r w:rsidRPr="00F246B4">
        <w:rPr>
          <w:rFonts w:ascii="Arial" w:hAnsi="Arial" w:cs="Arial"/>
          <w:color w:val="010000"/>
          <w:sz w:val="20"/>
        </w:rPr>
        <w:t>-DHDCD dated December 08, 2023 on continuing the implementation of the plan on public offering to existing shareholders;</w:t>
      </w:r>
    </w:p>
    <w:p w14:paraId="00000016" w14:textId="5812B314"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The Audited Consolidated Financial Statements for the fiscal year end</w:t>
      </w:r>
      <w:r w:rsidR="00AA2525" w:rsidRPr="00F246B4">
        <w:rPr>
          <w:rFonts w:ascii="Arial" w:hAnsi="Arial" w:cs="Arial"/>
          <w:color w:val="010000"/>
          <w:sz w:val="20"/>
        </w:rPr>
        <w:t>ing</w:t>
      </w:r>
      <w:r w:rsidRPr="00F246B4">
        <w:rPr>
          <w:rFonts w:ascii="Arial" w:hAnsi="Arial" w:cs="Arial"/>
          <w:color w:val="010000"/>
          <w:sz w:val="20"/>
        </w:rPr>
        <w:t xml:space="preserve"> on September 30, 2022; the Audited Separate Financial Statements for the fiscal year </w:t>
      </w:r>
      <w:r w:rsidR="00AA2525" w:rsidRPr="00F246B4">
        <w:rPr>
          <w:rFonts w:ascii="Arial" w:hAnsi="Arial" w:cs="Arial"/>
          <w:color w:val="010000"/>
          <w:sz w:val="20"/>
        </w:rPr>
        <w:t xml:space="preserve">ending </w:t>
      </w:r>
      <w:r w:rsidRPr="00F246B4">
        <w:rPr>
          <w:rFonts w:ascii="Arial" w:hAnsi="Arial" w:cs="Arial"/>
          <w:color w:val="010000"/>
          <w:sz w:val="20"/>
        </w:rPr>
        <w:t xml:space="preserve">on September 30, 2022; the </w:t>
      </w:r>
      <w:r w:rsidR="00AA2525" w:rsidRPr="00F246B4">
        <w:rPr>
          <w:rFonts w:ascii="Arial" w:hAnsi="Arial" w:cs="Arial"/>
          <w:color w:val="010000"/>
          <w:sz w:val="20"/>
        </w:rPr>
        <w:t>Power of Attorney</w:t>
      </w:r>
      <w:r w:rsidRPr="00F246B4">
        <w:rPr>
          <w:rFonts w:ascii="Arial" w:hAnsi="Arial" w:cs="Arial"/>
          <w:color w:val="010000"/>
          <w:sz w:val="20"/>
        </w:rPr>
        <w:t xml:space="preserve"> of the legal representative of Nam Viet Auditing and Accounting Financial Consulting Services </w:t>
      </w:r>
      <w:proofErr w:type="spellStart"/>
      <w:proofErr w:type="gramStart"/>
      <w:r w:rsidRPr="00F246B4">
        <w:rPr>
          <w:rFonts w:ascii="Arial" w:hAnsi="Arial" w:cs="Arial"/>
          <w:color w:val="010000"/>
          <w:sz w:val="20"/>
        </w:rPr>
        <w:t>Co.,Ltd</w:t>
      </w:r>
      <w:proofErr w:type="spellEnd"/>
      <w:r w:rsidRPr="00F246B4">
        <w:rPr>
          <w:rFonts w:ascii="Arial" w:hAnsi="Arial" w:cs="Arial"/>
          <w:color w:val="010000"/>
          <w:sz w:val="20"/>
        </w:rPr>
        <w:t>.</w:t>
      </w:r>
      <w:proofErr w:type="gramEnd"/>
      <w:r w:rsidR="00AA2525" w:rsidRPr="00F246B4">
        <w:rPr>
          <w:rFonts w:ascii="Arial" w:hAnsi="Arial" w:cs="Arial"/>
          <w:color w:val="010000"/>
          <w:sz w:val="20"/>
        </w:rPr>
        <w:t xml:space="preserve"> </w:t>
      </w:r>
      <w:r w:rsidR="001606BA" w:rsidRPr="00F246B4">
        <w:rPr>
          <w:rFonts w:ascii="Arial" w:hAnsi="Arial" w:cs="Arial"/>
          <w:color w:val="010000"/>
          <w:sz w:val="20"/>
        </w:rPr>
        <w:t>o</w:t>
      </w:r>
      <w:r w:rsidR="00AA2525" w:rsidRPr="00F246B4">
        <w:rPr>
          <w:rFonts w:ascii="Arial" w:hAnsi="Arial" w:cs="Arial"/>
          <w:color w:val="010000"/>
          <w:sz w:val="20"/>
        </w:rPr>
        <w:t>n authorizing</w:t>
      </w:r>
      <w:r w:rsidRPr="00F246B4">
        <w:rPr>
          <w:rFonts w:ascii="Arial" w:hAnsi="Arial" w:cs="Arial"/>
          <w:color w:val="010000"/>
          <w:sz w:val="20"/>
        </w:rPr>
        <w:t xml:space="preserve"> the Deputy Manager - Mr. Nguyen Ngoc Tuan;</w:t>
      </w:r>
    </w:p>
    <w:p w14:paraId="00000017" w14:textId="713BBF71"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The Audited Consolidated Financial Statements for the fiscal year </w:t>
      </w:r>
      <w:r w:rsidR="001606BA" w:rsidRPr="00F246B4">
        <w:rPr>
          <w:rFonts w:ascii="Arial" w:hAnsi="Arial" w:cs="Arial"/>
          <w:color w:val="010000"/>
          <w:sz w:val="20"/>
        </w:rPr>
        <w:t xml:space="preserve">ending </w:t>
      </w:r>
      <w:r w:rsidRPr="00F246B4">
        <w:rPr>
          <w:rFonts w:ascii="Arial" w:hAnsi="Arial" w:cs="Arial"/>
          <w:color w:val="010000"/>
          <w:sz w:val="20"/>
        </w:rPr>
        <w:t xml:space="preserve">on September 30, 2023; the Audited Separate Financial Statements for the fiscal year </w:t>
      </w:r>
      <w:r w:rsidR="001606BA" w:rsidRPr="00F246B4">
        <w:rPr>
          <w:rFonts w:ascii="Arial" w:hAnsi="Arial" w:cs="Arial"/>
          <w:color w:val="010000"/>
          <w:sz w:val="20"/>
        </w:rPr>
        <w:t xml:space="preserve">ending </w:t>
      </w:r>
      <w:r w:rsidRPr="00F246B4">
        <w:rPr>
          <w:rFonts w:ascii="Arial" w:hAnsi="Arial" w:cs="Arial"/>
          <w:color w:val="010000"/>
          <w:sz w:val="20"/>
        </w:rPr>
        <w:t>on September 30, 2023;</w:t>
      </w:r>
    </w:p>
    <w:p w14:paraId="00000018" w14:textId="5DD1089B"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Resolution No. 11.2023/NQ-HDQT dated August 08, 2023 on implementing the share offering to existing shareholders and the plan on ensuring the offering </w:t>
      </w:r>
      <w:r w:rsidR="001606BA" w:rsidRPr="00F246B4">
        <w:rPr>
          <w:rFonts w:ascii="Arial" w:hAnsi="Arial" w:cs="Arial"/>
          <w:color w:val="010000"/>
          <w:sz w:val="20"/>
        </w:rPr>
        <w:t>meets</w:t>
      </w:r>
      <w:r w:rsidRPr="00F246B4">
        <w:rPr>
          <w:rFonts w:ascii="Arial" w:hAnsi="Arial" w:cs="Arial"/>
          <w:color w:val="010000"/>
          <w:sz w:val="20"/>
        </w:rPr>
        <w:t xml:space="preserve"> regulations on the foreign ownership rate;</w:t>
      </w:r>
    </w:p>
    <w:p w14:paraId="00000019"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Resolution No. 03.2024/NQ-HDQT dated November 06, 2023 on the detailed plan to use proceeds from the offering to existing shareholders;</w:t>
      </w:r>
    </w:p>
    <w:p w14:paraId="0000001A" w14:textId="48BC71FD"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Resolution No. 08.2024/NQ-HDQT dated January 15, 2024 on implementing the plan to ensure the offering </w:t>
      </w:r>
      <w:r w:rsidR="001606BA" w:rsidRPr="00F246B4">
        <w:rPr>
          <w:rFonts w:ascii="Arial" w:hAnsi="Arial" w:cs="Arial"/>
          <w:color w:val="010000"/>
          <w:sz w:val="20"/>
        </w:rPr>
        <w:t>meets</w:t>
      </w:r>
      <w:r w:rsidRPr="00F246B4">
        <w:rPr>
          <w:rFonts w:ascii="Arial" w:hAnsi="Arial" w:cs="Arial"/>
          <w:color w:val="010000"/>
          <w:sz w:val="20"/>
        </w:rPr>
        <w:t xml:space="preserve"> regulations on the foreign ownership rate; </w:t>
      </w:r>
    </w:p>
    <w:p w14:paraId="0000001B"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Resolution No. 09.2024/NQ-HDQT dated January 15, 2024 on approving the dossier for offering shares to existing shareholders;</w:t>
      </w:r>
    </w:p>
    <w:p w14:paraId="0000001C" w14:textId="006DE3C9"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Written commitment of the Board of Directors on registration for </w:t>
      </w:r>
      <w:r w:rsidR="001606BA" w:rsidRPr="00F246B4">
        <w:rPr>
          <w:rFonts w:ascii="Arial" w:hAnsi="Arial" w:cs="Arial"/>
          <w:color w:val="010000"/>
          <w:sz w:val="20"/>
        </w:rPr>
        <w:t xml:space="preserve">the </w:t>
      </w:r>
      <w:r w:rsidRPr="00F246B4">
        <w:rPr>
          <w:rFonts w:ascii="Arial" w:hAnsi="Arial" w:cs="Arial"/>
          <w:color w:val="010000"/>
          <w:sz w:val="20"/>
        </w:rPr>
        <w:t>listing of securities;</w:t>
      </w:r>
    </w:p>
    <w:p w14:paraId="0000001D" w14:textId="027E981A"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Written confirmation of the bank on opening a blocked account to receive the payment for purchasing shares in the offering along with the </w:t>
      </w:r>
      <w:r w:rsidR="001606BA" w:rsidRPr="00F246B4">
        <w:rPr>
          <w:rFonts w:ascii="Arial" w:hAnsi="Arial" w:cs="Arial"/>
          <w:color w:val="010000"/>
          <w:sz w:val="20"/>
        </w:rPr>
        <w:t xml:space="preserve">Power of Attorney </w:t>
      </w:r>
      <w:r w:rsidRPr="00F246B4">
        <w:rPr>
          <w:rFonts w:ascii="Arial" w:hAnsi="Arial" w:cs="Arial"/>
          <w:color w:val="010000"/>
          <w:sz w:val="20"/>
        </w:rPr>
        <w:t>of the signatory;</w:t>
      </w:r>
    </w:p>
    <w:p w14:paraId="0000001E"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Business Registration Certificate No. 0302047389, first issued on July 10, 2000 and registered for the 29th amendment on May 17, 2023 by the Department of Planning and Investment of Ho Chi Minh City;</w:t>
      </w:r>
    </w:p>
    <w:p w14:paraId="0000001F"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Written commitment on complying with Point e, Clause 1, Article 15 of the Law on Securities;</w:t>
      </w:r>
    </w:p>
    <w:p w14:paraId="00000020"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Consulting contract on the registration dossier for offering securities along with the authorization of the consulting company;</w:t>
      </w:r>
    </w:p>
    <w:p w14:paraId="00000021"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lastRenderedPageBreak/>
        <w:t xml:space="preserve">Official Dispatch No. 3246/UBCK-PTTT dated June 13, 2022 on the dossier for announcing the maximum foreign ownership rate of Hung </w:t>
      </w:r>
      <w:proofErr w:type="spellStart"/>
      <w:r w:rsidRPr="00F246B4">
        <w:rPr>
          <w:rFonts w:ascii="Arial" w:hAnsi="Arial" w:cs="Arial"/>
          <w:color w:val="010000"/>
          <w:sz w:val="20"/>
        </w:rPr>
        <w:t>Hau</w:t>
      </w:r>
      <w:proofErr w:type="spellEnd"/>
      <w:r w:rsidRPr="00F246B4">
        <w:rPr>
          <w:rFonts w:ascii="Arial" w:hAnsi="Arial" w:cs="Arial"/>
          <w:color w:val="010000"/>
          <w:sz w:val="20"/>
        </w:rPr>
        <w:t xml:space="preserve"> Agricultural Corporation.</w:t>
      </w:r>
    </w:p>
    <w:p w14:paraId="00000022" w14:textId="77777777" w:rsidR="00412447" w:rsidRPr="00F246B4" w:rsidRDefault="0029741F" w:rsidP="007F15E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F246B4">
        <w:rPr>
          <w:rFonts w:ascii="Arial" w:hAnsi="Arial" w:cs="Arial"/>
          <w:color w:val="010000"/>
          <w:sz w:val="20"/>
        </w:rPr>
        <w:t>Dossiers, documents that are related to the plan on using capital;</w:t>
      </w:r>
    </w:p>
    <w:p w14:paraId="00000023" w14:textId="77777777" w:rsidR="00412447" w:rsidRPr="00F246B4" w:rsidRDefault="0029741F" w:rsidP="007F15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46B4">
        <w:rPr>
          <w:rFonts w:ascii="Arial" w:hAnsi="Arial" w:cs="Arial"/>
          <w:color w:val="010000"/>
          <w:sz w:val="20"/>
        </w:rPr>
        <w:t>Article 2: Authorize the legal representative on behalf of the Board of Directors to sign related documents and direct the implementation of the next steps while ensuring compliance with the current regulations.</w:t>
      </w:r>
    </w:p>
    <w:p w14:paraId="00000024" w14:textId="77777777" w:rsidR="00412447" w:rsidRPr="00F246B4" w:rsidRDefault="0029741F" w:rsidP="007F15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46B4">
        <w:rPr>
          <w:rFonts w:ascii="Arial" w:hAnsi="Arial" w:cs="Arial"/>
          <w:color w:val="010000"/>
          <w:sz w:val="20"/>
        </w:rPr>
        <w:t xml:space="preserve">Article 3: Members of the Board of Directors and the Board of Management of Hung </w:t>
      </w:r>
      <w:proofErr w:type="spellStart"/>
      <w:r w:rsidRPr="00F246B4">
        <w:rPr>
          <w:rFonts w:ascii="Arial" w:hAnsi="Arial" w:cs="Arial"/>
          <w:color w:val="010000"/>
          <w:sz w:val="20"/>
        </w:rPr>
        <w:t>Hau</w:t>
      </w:r>
      <w:proofErr w:type="spellEnd"/>
      <w:r w:rsidRPr="00F246B4">
        <w:rPr>
          <w:rFonts w:ascii="Arial" w:hAnsi="Arial" w:cs="Arial"/>
          <w:color w:val="010000"/>
          <w:sz w:val="20"/>
        </w:rPr>
        <w:t xml:space="preserve"> Agricultural Corporation are responsible for the implementation of this Resolution.</w:t>
      </w:r>
    </w:p>
    <w:p w14:paraId="00000025" w14:textId="77777777" w:rsidR="00412447" w:rsidRPr="00F246B4" w:rsidRDefault="0029741F" w:rsidP="007F15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46B4">
        <w:rPr>
          <w:rFonts w:ascii="Arial" w:hAnsi="Arial" w:cs="Arial"/>
          <w:color w:val="010000"/>
          <w:sz w:val="20"/>
        </w:rPr>
        <w:t>Article 4: This Resolution replaces Resolution No. 09/NQ - HDQT dated May 17, 2023.</w:t>
      </w:r>
    </w:p>
    <w:p w14:paraId="00000026" w14:textId="77777777" w:rsidR="00412447" w:rsidRPr="00F246B4" w:rsidRDefault="0029741F" w:rsidP="007F15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46B4">
        <w:rPr>
          <w:rFonts w:ascii="Arial" w:hAnsi="Arial" w:cs="Arial"/>
          <w:color w:val="010000"/>
          <w:sz w:val="20"/>
        </w:rPr>
        <w:t>This Resolution takes effect from the date of its signing./.</w:t>
      </w:r>
      <w:bookmarkEnd w:id="0"/>
    </w:p>
    <w:sectPr w:rsidR="00412447" w:rsidRPr="00F246B4" w:rsidSect="0029741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97276"/>
    <w:multiLevelType w:val="multilevel"/>
    <w:tmpl w:val="D09C98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47"/>
    <w:rsid w:val="00097784"/>
    <w:rsid w:val="001606BA"/>
    <w:rsid w:val="0029741F"/>
    <w:rsid w:val="00412447"/>
    <w:rsid w:val="007F15EF"/>
    <w:rsid w:val="00AA2525"/>
    <w:rsid w:val="00AB4D6C"/>
    <w:rsid w:val="00C70895"/>
    <w:rsid w:val="00CC047F"/>
    <w:rsid w:val="00F24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D8E22"/>
  <w15:docId w15:val="{4FF76380-CBA4-4FAA-B5E6-AFE63002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6/DZ85fo79cF2ET4/PK6S1rVw==">CgMxLjA4AHIhMWFyelRmX2xkdVdRSWhVNlg2TG9tWXJCZG85RWZLTllS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2024-01-16T05:58:00Z</dcterms:created>
  <dcterms:modified xsi:type="dcterms:W3CDTF">2024-01-17T09:43:00Z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74d5b5c3a64a3b8384256997968420031ea1893e46ebb784b20a24078bdb4df8</vt:lpwstr>
  </property>
</Properties>
</file>