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03C0" w:rsidRPr="00D81958" w:rsidRDefault="00D570C0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81958">
        <w:rPr>
          <w:rFonts w:ascii="Arial" w:hAnsi="Arial" w:cs="Arial"/>
          <w:b/>
          <w:color w:val="010000"/>
          <w:sz w:val="20"/>
        </w:rPr>
        <w:t>TDF</w:t>
      </w:r>
      <w:proofErr w:type="spellEnd"/>
      <w:r w:rsidRPr="00D81958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F403C0" w:rsidRPr="00D81958" w:rsidRDefault="00D570C0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On January 15, 2024, </w:t>
      </w:r>
      <w:proofErr w:type="spellStart"/>
      <w:r w:rsidRPr="00D81958">
        <w:rPr>
          <w:rFonts w:ascii="Arial" w:hAnsi="Arial" w:cs="Arial"/>
          <w:color w:val="010000"/>
          <w:sz w:val="20"/>
        </w:rPr>
        <w:t>Trung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Do Joint Stock Company announced Decision No. 01/</w:t>
      </w:r>
      <w:proofErr w:type="spellStart"/>
      <w:r w:rsidRPr="00D81958">
        <w:rPr>
          <w:rFonts w:ascii="Arial" w:hAnsi="Arial" w:cs="Arial"/>
          <w:color w:val="010000"/>
          <w:sz w:val="20"/>
        </w:rPr>
        <w:t>QD-HDQT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on approving adjustments to the </w:t>
      </w:r>
      <w:proofErr w:type="spellStart"/>
      <w:r w:rsidRPr="00D81958">
        <w:rPr>
          <w:rFonts w:ascii="Arial" w:hAnsi="Arial" w:cs="Arial"/>
          <w:color w:val="010000"/>
          <w:sz w:val="20"/>
        </w:rPr>
        <w:t>Trung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Do Construction Materials Production Complex Investment Project as follows:</w:t>
      </w:r>
    </w:p>
    <w:p w14:paraId="00000004" w14:textId="3581D00B" w:rsidR="00F403C0" w:rsidRPr="00D81958" w:rsidRDefault="00D570C0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Article 1: Approve the adjustment of the investment project of </w:t>
      </w:r>
      <w:proofErr w:type="spellStart"/>
      <w:r w:rsidRPr="00D81958">
        <w:rPr>
          <w:rFonts w:ascii="Arial" w:hAnsi="Arial" w:cs="Arial"/>
          <w:color w:val="010000"/>
          <w:sz w:val="20"/>
        </w:rPr>
        <w:t>Trung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Do Construction Materials Production Complex in </w:t>
      </w:r>
      <w:proofErr w:type="spellStart"/>
      <w:r w:rsidRPr="00D81958">
        <w:rPr>
          <w:rFonts w:ascii="Arial" w:hAnsi="Arial" w:cs="Arial"/>
          <w:color w:val="010000"/>
          <w:sz w:val="20"/>
        </w:rPr>
        <w:t>Nghi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Van and </w:t>
      </w:r>
      <w:proofErr w:type="spellStart"/>
      <w:r w:rsidRPr="00D81958">
        <w:rPr>
          <w:rFonts w:ascii="Arial" w:hAnsi="Arial" w:cs="Arial"/>
          <w:color w:val="010000"/>
          <w:sz w:val="20"/>
        </w:rPr>
        <w:t>Nghi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Lam </w:t>
      </w:r>
      <w:r w:rsidR="00B85BF8" w:rsidRPr="00D81958">
        <w:rPr>
          <w:rFonts w:ascii="Arial" w:hAnsi="Arial" w:cs="Arial"/>
          <w:color w:val="010000"/>
          <w:sz w:val="20"/>
        </w:rPr>
        <w:t xml:space="preserve">Commune, </w:t>
      </w:r>
      <w:proofErr w:type="spellStart"/>
      <w:r w:rsidR="00B85BF8" w:rsidRPr="00D81958">
        <w:rPr>
          <w:rFonts w:ascii="Arial" w:hAnsi="Arial" w:cs="Arial"/>
          <w:color w:val="010000"/>
          <w:sz w:val="20"/>
        </w:rPr>
        <w:t>Nghi</w:t>
      </w:r>
      <w:proofErr w:type="spellEnd"/>
      <w:r w:rsidR="00B85BF8"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85BF8" w:rsidRPr="00D81958">
        <w:rPr>
          <w:rFonts w:ascii="Arial" w:hAnsi="Arial" w:cs="Arial"/>
          <w:color w:val="010000"/>
          <w:sz w:val="20"/>
        </w:rPr>
        <w:t>Loc</w:t>
      </w:r>
      <w:proofErr w:type="spellEnd"/>
      <w:r w:rsidR="00B85BF8" w:rsidRPr="00D81958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="00B85BF8" w:rsidRPr="00D81958">
        <w:rPr>
          <w:rFonts w:ascii="Arial" w:hAnsi="Arial" w:cs="Arial"/>
          <w:color w:val="010000"/>
          <w:sz w:val="20"/>
        </w:rPr>
        <w:t>Nghe</w:t>
      </w:r>
      <w:proofErr w:type="spellEnd"/>
      <w:r w:rsidR="00B85BF8" w:rsidRPr="00D81958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B85BF8" w:rsidRPr="00D81958">
        <w:rPr>
          <w:rFonts w:ascii="Arial" w:hAnsi="Arial" w:cs="Arial"/>
          <w:color w:val="010000"/>
          <w:sz w:val="20"/>
        </w:rPr>
        <w:t>An</w:t>
      </w:r>
      <w:proofErr w:type="gramEnd"/>
      <w:r w:rsidR="00B85BF8" w:rsidRPr="00D81958">
        <w:rPr>
          <w:rFonts w:ascii="Arial" w:hAnsi="Arial" w:cs="Arial"/>
          <w:color w:val="010000"/>
          <w:sz w:val="20"/>
        </w:rPr>
        <w:t xml:space="preserve"> Province</w:t>
      </w:r>
      <w:r w:rsidRPr="00D81958">
        <w:rPr>
          <w:rFonts w:ascii="Arial" w:hAnsi="Arial" w:cs="Arial"/>
          <w:color w:val="010000"/>
          <w:sz w:val="20"/>
        </w:rPr>
        <w:t xml:space="preserve"> with the following main contents:</w:t>
      </w:r>
    </w:p>
    <w:p w14:paraId="00000005" w14:textId="77777777" w:rsidR="00F403C0" w:rsidRPr="00D81958" w:rsidRDefault="00D570C0" w:rsidP="00D446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6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Project name: </w:t>
      </w:r>
      <w:proofErr w:type="spellStart"/>
      <w:r w:rsidRPr="00D81958">
        <w:rPr>
          <w:rFonts w:ascii="Arial" w:hAnsi="Arial" w:cs="Arial"/>
          <w:color w:val="010000"/>
          <w:sz w:val="20"/>
        </w:rPr>
        <w:t>Trung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Do Construction Materials Production Complex.</w:t>
      </w:r>
    </w:p>
    <w:p w14:paraId="00000006" w14:textId="77777777" w:rsidR="00F403C0" w:rsidRPr="00D81958" w:rsidRDefault="00D570C0" w:rsidP="00D446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6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Investor: </w:t>
      </w:r>
      <w:proofErr w:type="spellStart"/>
      <w:r w:rsidRPr="00D81958">
        <w:rPr>
          <w:rFonts w:ascii="Arial" w:hAnsi="Arial" w:cs="Arial"/>
          <w:color w:val="010000"/>
          <w:sz w:val="20"/>
        </w:rPr>
        <w:t>Trung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Do Joint Stock Company</w:t>
      </w:r>
    </w:p>
    <w:p w14:paraId="00000007" w14:textId="77777777" w:rsidR="00F403C0" w:rsidRPr="00D81958" w:rsidRDefault="00D570C0" w:rsidP="00D446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6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Project targets:</w:t>
      </w:r>
    </w:p>
    <w:p w14:paraId="00000008" w14:textId="77777777" w:rsidR="00F403C0" w:rsidRPr="00D81958" w:rsidRDefault="00D570C0" w:rsidP="00D44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Meet the growing needs and scale of the construction materials market;</w:t>
      </w:r>
    </w:p>
    <w:p w14:paraId="00000009" w14:textId="77777777" w:rsidR="00F403C0" w:rsidRPr="00D81958" w:rsidRDefault="00D570C0" w:rsidP="00D44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Continuously develop and apply new technology in production and business;</w:t>
      </w:r>
    </w:p>
    <w:p w14:paraId="0000000A" w14:textId="4D651034" w:rsidR="00F403C0" w:rsidRPr="00D81958" w:rsidRDefault="00D570C0" w:rsidP="00D44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Contribute to the implementation of the Party and State's policies on increasing investment in the production of construction material products to minimize environmental pollution; </w:t>
      </w:r>
    </w:p>
    <w:p w14:paraId="0000000B" w14:textId="51836E9E" w:rsidR="00F403C0" w:rsidRPr="00D81958" w:rsidRDefault="00D570C0" w:rsidP="00D44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Contribute to increasing the value of industrial production in </w:t>
      </w:r>
      <w:proofErr w:type="spellStart"/>
      <w:r w:rsidRPr="00D81958">
        <w:rPr>
          <w:rFonts w:ascii="Arial" w:hAnsi="Arial" w:cs="Arial"/>
          <w:color w:val="010000"/>
          <w:sz w:val="20"/>
        </w:rPr>
        <w:t>Nghe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An </w:t>
      </w:r>
      <w:r w:rsidR="00D80BDD" w:rsidRPr="00D81958">
        <w:rPr>
          <w:rFonts w:ascii="Arial" w:hAnsi="Arial" w:cs="Arial"/>
          <w:color w:val="010000"/>
          <w:sz w:val="20"/>
        </w:rPr>
        <w:t>Province</w:t>
      </w:r>
      <w:r w:rsidRPr="00D81958">
        <w:rPr>
          <w:rFonts w:ascii="Arial" w:hAnsi="Arial" w:cs="Arial"/>
          <w:color w:val="010000"/>
          <w:sz w:val="20"/>
        </w:rPr>
        <w:t>, creating profits for the Company and contributing to increasing revenue for the local budget and the State;</w:t>
      </w:r>
    </w:p>
    <w:p w14:paraId="0000000C" w14:textId="77777777" w:rsidR="00F403C0" w:rsidRPr="00D81958" w:rsidRDefault="00D570C0" w:rsidP="00D44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Recruit, train and create jobs for a large force of direct local workers with stable income (expected to be over 600 workers).</w:t>
      </w:r>
    </w:p>
    <w:p w14:paraId="0000000D" w14:textId="77777777" w:rsidR="00F403C0" w:rsidRPr="00D81958" w:rsidRDefault="00D570C0" w:rsidP="00D44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Provide high quality products which meet State and local requirements for environmentally friendly products. Meet customer needs for construction materials products manufactured using the latest technology.</w:t>
      </w:r>
    </w:p>
    <w:p w14:paraId="0000000E" w14:textId="77777777" w:rsidR="00F403C0" w:rsidRPr="00D81958" w:rsidRDefault="00D570C0" w:rsidP="00D446D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Investment scale:</w:t>
      </w:r>
    </w:p>
    <w:p w14:paraId="0000000F" w14:textId="77777777" w:rsidR="00F403C0" w:rsidRPr="00D81958" w:rsidRDefault="00D570C0" w:rsidP="00D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Total area used for construction of the Complex: 425,336/</w:t>
      </w:r>
      <w:proofErr w:type="spellStart"/>
      <w:r w:rsidRPr="00D81958">
        <w:rPr>
          <w:rFonts w:ascii="Arial" w:hAnsi="Arial" w:cs="Arial"/>
          <w:color w:val="010000"/>
          <w:sz w:val="20"/>
        </w:rPr>
        <w:t>m2</w:t>
      </w:r>
      <w:proofErr w:type="spellEnd"/>
    </w:p>
    <w:p w14:paraId="00000010" w14:textId="1F316FE0" w:rsidR="00F403C0" w:rsidRPr="00D81958" w:rsidRDefault="00D570C0" w:rsidP="00D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Complete construction and installation of 03 production lines for high-grade Granite large slabs with total capacity: 7,500,000 </w:t>
      </w:r>
      <w:proofErr w:type="spellStart"/>
      <w:r w:rsidRPr="00D81958">
        <w:rPr>
          <w:rFonts w:ascii="Arial" w:hAnsi="Arial" w:cs="Arial"/>
          <w:color w:val="010000"/>
          <w:sz w:val="20"/>
        </w:rPr>
        <w:t>m2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/year (line number 01 produces product lines with the size </w:t>
      </w:r>
      <w:r w:rsidR="00D80BDD" w:rsidRPr="00D81958">
        <w:rPr>
          <w:rFonts w:ascii="Arial" w:hAnsi="Arial" w:cs="Arial"/>
          <w:color w:val="010000"/>
          <w:sz w:val="20"/>
        </w:rPr>
        <w:t xml:space="preserve">up to </w:t>
      </w:r>
      <w:proofErr w:type="spellStart"/>
      <w:r w:rsidRPr="00D81958">
        <w:rPr>
          <w:rFonts w:ascii="Arial" w:hAnsi="Arial" w:cs="Arial"/>
          <w:color w:val="010000"/>
          <w:sz w:val="20"/>
        </w:rPr>
        <w:t>1600mmx2400mm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, thickness from </w:t>
      </w:r>
      <w:proofErr w:type="spellStart"/>
      <w:r w:rsidRPr="00D81958">
        <w:rPr>
          <w:rFonts w:ascii="Arial" w:hAnsi="Arial" w:cs="Arial"/>
          <w:color w:val="010000"/>
          <w:sz w:val="20"/>
        </w:rPr>
        <w:t>8mm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1958">
        <w:rPr>
          <w:rFonts w:ascii="Arial" w:hAnsi="Arial" w:cs="Arial"/>
          <w:color w:val="010000"/>
          <w:sz w:val="20"/>
        </w:rPr>
        <w:t>20mm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; lines number 02 and 03 produce product lines with the </w:t>
      </w:r>
      <w:r w:rsidR="00D80BDD" w:rsidRPr="00D81958">
        <w:rPr>
          <w:rFonts w:ascii="Arial" w:hAnsi="Arial" w:cs="Arial"/>
          <w:color w:val="010000"/>
          <w:sz w:val="20"/>
        </w:rPr>
        <w:t>size up to</w:t>
      </w:r>
      <w:r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1958">
        <w:rPr>
          <w:rFonts w:ascii="Arial" w:hAnsi="Arial" w:cs="Arial"/>
          <w:color w:val="010000"/>
          <w:sz w:val="20"/>
        </w:rPr>
        <w:t>1600mmx3200mm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, thickness from </w:t>
      </w:r>
      <w:proofErr w:type="spellStart"/>
      <w:r w:rsidRPr="00D81958">
        <w:rPr>
          <w:rFonts w:ascii="Arial" w:hAnsi="Arial" w:cs="Arial"/>
          <w:color w:val="010000"/>
          <w:sz w:val="20"/>
        </w:rPr>
        <w:t>6mm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D81958">
        <w:rPr>
          <w:rFonts w:ascii="Arial" w:hAnsi="Arial" w:cs="Arial"/>
          <w:color w:val="010000"/>
          <w:sz w:val="20"/>
        </w:rPr>
        <w:t>20mm</w:t>
      </w:r>
      <w:proofErr w:type="spellEnd"/>
      <w:r w:rsidRPr="00D81958">
        <w:rPr>
          <w:rFonts w:ascii="Arial" w:hAnsi="Arial" w:cs="Arial"/>
          <w:color w:val="010000"/>
          <w:sz w:val="20"/>
        </w:rPr>
        <w:t>).</w:t>
      </w:r>
    </w:p>
    <w:p w14:paraId="00000011" w14:textId="475F61C1" w:rsidR="00F403C0" w:rsidRPr="00D81958" w:rsidRDefault="00D570C0" w:rsidP="00D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Complete construction and installation of 01 high-quality ceramic </w:t>
      </w:r>
      <w:r w:rsidR="00D80BDD" w:rsidRPr="00D81958">
        <w:rPr>
          <w:rFonts w:ascii="Arial" w:hAnsi="Arial" w:cs="Arial"/>
          <w:color w:val="010000"/>
          <w:sz w:val="20"/>
        </w:rPr>
        <w:t xml:space="preserve">roofing </w:t>
      </w:r>
      <w:r w:rsidRPr="00D81958">
        <w:rPr>
          <w:rFonts w:ascii="Arial" w:hAnsi="Arial" w:cs="Arial"/>
          <w:color w:val="010000"/>
          <w:sz w:val="20"/>
        </w:rPr>
        <w:t xml:space="preserve">tile production line with </w:t>
      </w:r>
      <w:r w:rsidR="00D80BDD" w:rsidRPr="00D81958">
        <w:rPr>
          <w:rFonts w:ascii="Arial" w:hAnsi="Arial" w:cs="Arial"/>
          <w:color w:val="010000"/>
          <w:sz w:val="20"/>
        </w:rPr>
        <w:t xml:space="preserve">a </w:t>
      </w:r>
      <w:r w:rsidRPr="00D81958">
        <w:rPr>
          <w:rFonts w:ascii="Arial" w:hAnsi="Arial" w:cs="Arial"/>
          <w:color w:val="010000"/>
          <w:sz w:val="20"/>
        </w:rPr>
        <w:t xml:space="preserve">capacity </w:t>
      </w:r>
      <w:r w:rsidR="00D80BDD" w:rsidRPr="00D81958">
        <w:rPr>
          <w:rFonts w:ascii="Arial" w:hAnsi="Arial" w:cs="Arial"/>
          <w:color w:val="010000"/>
          <w:sz w:val="20"/>
        </w:rPr>
        <w:t xml:space="preserve">of </w:t>
      </w:r>
      <w:r w:rsidRPr="00D81958">
        <w:rPr>
          <w:rFonts w:ascii="Arial" w:hAnsi="Arial" w:cs="Arial"/>
          <w:color w:val="010000"/>
          <w:sz w:val="20"/>
        </w:rPr>
        <w:t xml:space="preserve">2,500,000 </w:t>
      </w:r>
      <w:proofErr w:type="spellStart"/>
      <w:r w:rsidRPr="00D81958">
        <w:rPr>
          <w:rFonts w:ascii="Arial" w:hAnsi="Arial" w:cs="Arial"/>
          <w:color w:val="010000"/>
          <w:sz w:val="20"/>
        </w:rPr>
        <w:t>m2</w:t>
      </w:r>
      <w:proofErr w:type="spellEnd"/>
      <w:r w:rsidRPr="00D81958">
        <w:rPr>
          <w:rFonts w:ascii="Arial" w:hAnsi="Arial" w:cs="Arial"/>
          <w:color w:val="010000"/>
          <w:sz w:val="20"/>
        </w:rPr>
        <w:t>/year;</w:t>
      </w:r>
    </w:p>
    <w:p w14:paraId="00000012" w14:textId="5C7A261B" w:rsidR="00F403C0" w:rsidRPr="00D81958" w:rsidRDefault="00D570C0" w:rsidP="00D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Complete construction and installation of 02 Tunnel Brick production lines with </w:t>
      </w:r>
      <w:r w:rsidR="00D80BDD" w:rsidRPr="00D81958">
        <w:rPr>
          <w:rFonts w:ascii="Arial" w:hAnsi="Arial" w:cs="Arial"/>
          <w:color w:val="010000"/>
          <w:sz w:val="20"/>
        </w:rPr>
        <w:t xml:space="preserve">a </w:t>
      </w:r>
      <w:r w:rsidRPr="00D81958">
        <w:rPr>
          <w:rFonts w:ascii="Arial" w:hAnsi="Arial" w:cs="Arial"/>
          <w:color w:val="010000"/>
          <w:sz w:val="20"/>
        </w:rPr>
        <w:t>capacity</w:t>
      </w:r>
      <w:r w:rsidR="00D80BDD" w:rsidRPr="00D81958">
        <w:rPr>
          <w:rFonts w:ascii="Arial" w:hAnsi="Arial" w:cs="Arial"/>
          <w:color w:val="010000"/>
          <w:sz w:val="20"/>
        </w:rPr>
        <w:t xml:space="preserve"> of </w:t>
      </w:r>
      <w:r w:rsidRPr="00D81958">
        <w:rPr>
          <w:rFonts w:ascii="Arial" w:hAnsi="Arial" w:cs="Arial"/>
          <w:color w:val="010000"/>
          <w:sz w:val="20"/>
        </w:rPr>
        <w:t>110,000,000 pieces/year.</w:t>
      </w:r>
    </w:p>
    <w:p w14:paraId="00000013" w14:textId="77777777" w:rsidR="00F403C0" w:rsidRPr="00D81958" w:rsidRDefault="00D570C0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Investment stages: </w:t>
      </w:r>
    </w:p>
    <w:p w14:paraId="00000014" w14:textId="44A10D3C" w:rsidR="00F403C0" w:rsidRPr="00D81958" w:rsidRDefault="00D570C0" w:rsidP="00D446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2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Stage 1: Complete construction and installation of the complex: 02 production lines producing </w:t>
      </w:r>
      <w:r w:rsidR="00D80BDD" w:rsidRPr="00D81958">
        <w:rPr>
          <w:rFonts w:ascii="Arial" w:hAnsi="Arial" w:cs="Arial"/>
          <w:color w:val="010000"/>
          <w:sz w:val="20"/>
        </w:rPr>
        <w:t>high-quality</w:t>
      </w:r>
      <w:r w:rsidRPr="00D81958">
        <w:rPr>
          <w:rFonts w:ascii="Arial" w:hAnsi="Arial" w:cs="Arial"/>
          <w:color w:val="010000"/>
          <w:sz w:val="20"/>
        </w:rPr>
        <w:t xml:space="preserve"> large slabs of Granite material (5.0 million </w:t>
      </w:r>
      <w:proofErr w:type="spellStart"/>
      <w:r w:rsidRPr="00D81958">
        <w:rPr>
          <w:rFonts w:ascii="Arial" w:hAnsi="Arial" w:cs="Arial"/>
          <w:color w:val="010000"/>
          <w:sz w:val="20"/>
        </w:rPr>
        <w:t>m2</w:t>
      </w:r>
      <w:proofErr w:type="spellEnd"/>
      <w:r w:rsidRPr="00D81958">
        <w:rPr>
          <w:rFonts w:ascii="Arial" w:hAnsi="Arial" w:cs="Arial"/>
          <w:color w:val="010000"/>
          <w:sz w:val="20"/>
        </w:rPr>
        <w:t>/year), 01 production line of Tunnel Bricks</w:t>
      </w:r>
      <w:r w:rsidR="00D446DC" w:rsidRPr="00D81958">
        <w:rPr>
          <w:rFonts w:ascii="Arial" w:hAnsi="Arial" w:cs="Arial"/>
          <w:color w:val="010000"/>
          <w:sz w:val="20"/>
        </w:rPr>
        <w:t xml:space="preserve"> </w:t>
      </w:r>
      <w:r w:rsidR="00D446DC" w:rsidRPr="00D81958">
        <w:rPr>
          <w:rFonts w:ascii="Arial" w:hAnsi="Arial" w:cs="Arial"/>
          <w:color w:val="010000"/>
          <w:sz w:val="20"/>
        </w:rPr>
        <w:lastRenderedPageBreak/>
        <w:t>from hill clay 1</w:t>
      </w:r>
      <w:r w:rsidRPr="00D81958">
        <w:rPr>
          <w:rFonts w:ascii="Arial" w:hAnsi="Arial" w:cs="Arial"/>
          <w:color w:val="010000"/>
          <w:sz w:val="20"/>
        </w:rPr>
        <w:t xml:space="preserve"> (55.0 million pieces/year). </w:t>
      </w:r>
    </w:p>
    <w:p w14:paraId="00000015" w14:textId="1D511EB2" w:rsidR="00F403C0" w:rsidRPr="00D81958" w:rsidRDefault="00D570C0" w:rsidP="00D446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28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Stage 2: Complete construction and installation of the complex: 01 production line for high-quality ceramic tiles (2.5 million </w:t>
      </w:r>
      <w:proofErr w:type="spellStart"/>
      <w:r w:rsidRPr="00D81958">
        <w:rPr>
          <w:rFonts w:ascii="Arial" w:hAnsi="Arial" w:cs="Arial"/>
          <w:color w:val="010000"/>
          <w:sz w:val="20"/>
        </w:rPr>
        <w:t>m2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/year), 01 production line for </w:t>
      </w:r>
      <w:r w:rsidR="00D446DC" w:rsidRPr="00D81958">
        <w:rPr>
          <w:rFonts w:ascii="Arial" w:hAnsi="Arial" w:cs="Arial"/>
          <w:color w:val="010000"/>
          <w:sz w:val="20"/>
        </w:rPr>
        <w:t>Tunnel Bricks from hill clay 2</w:t>
      </w:r>
      <w:r w:rsidRPr="00D81958">
        <w:rPr>
          <w:rFonts w:ascii="Arial" w:hAnsi="Arial" w:cs="Arial"/>
          <w:color w:val="010000"/>
          <w:sz w:val="20"/>
        </w:rPr>
        <w:t xml:space="preserve"> (55.0 million pieces/year), 01 production line for high-quality large slabs of Granite material (2.5 million </w:t>
      </w:r>
      <w:proofErr w:type="spellStart"/>
      <w:r w:rsidRPr="00D81958">
        <w:rPr>
          <w:rFonts w:ascii="Arial" w:hAnsi="Arial" w:cs="Arial"/>
          <w:color w:val="010000"/>
          <w:sz w:val="20"/>
        </w:rPr>
        <w:t>m2</w:t>
      </w:r>
      <w:proofErr w:type="spellEnd"/>
      <w:r w:rsidRPr="00D81958">
        <w:rPr>
          <w:rFonts w:ascii="Arial" w:hAnsi="Arial" w:cs="Arial"/>
          <w:color w:val="010000"/>
          <w:sz w:val="20"/>
        </w:rPr>
        <w:t>/year).</w:t>
      </w:r>
    </w:p>
    <w:p w14:paraId="00000016" w14:textId="617F19BC" w:rsidR="00F403C0" w:rsidRPr="00D81958" w:rsidRDefault="00D570C0" w:rsidP="00D446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Construction site: </w:t>
      </w:r>
      <w:proofErr w:type="spellStart"/>
      <w:r w:rsidRPr="00D81958">
        <w:rPr>
          <w:rFonts w:ascii="Arial" w:hAnsi="Arial" w:cs="Arial"/>
          <w:color w:val="010000"/>
          <w:sz w:val="20"/>
        </w:rPr>
        <w:t>Nghi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Van and </w:t>
      </w:r>
      <w:proofErr w:type="spellStart"/>
      <w:r w:rsidRPr="00D81958">
        <w:rPr>
          <w:rFonts w:ascii="Arial" w:hAnsi="Arial" w:cs="Arial"/>
          <w:color w:val="010000"/>
          <w:sz w:val="20"/>
        </w:rPr>
        <w:t>Nghi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Lam </w:t>
      </w:r>
      <w:r w:rsidR="00D446DC" w:rsidRPr="00D81958">
        <w:rPr>
          <w:rFonts w:ascii="Arial" w:hAnsi="Arial" w:cs="Arial"/>
          <w:color w:val="010000"/>
          <w:sz w:val="20"/>
        </w:rPr>
        <w:t xml:space="preserve">Commune, </w:t>
      </w:r>
      <w:proofErr w:type="spellStart"/>
      <w:r w:rsidR="00D446DC" w:rsidRPr="00D81958">
        <w:rPr>
          <w:rFonts w:ascii="Arial" w:hAnsi="Arial" w:cs="Arial"/>
          <w:color w:val="010000"/>
          <w:sz w:val="20"/>
        </w:rPr>
        <w:t>Nghi</w:t>
      </w:r>
      <w:proofErr w:type="spellEnd"/>
      <w:r w:rsidR="00D446DC"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D446DC" w:rsidRPr="00D81958">
        <w:rPr>
          <w:rFonts w:ascii="Arial" w:hAnsi="Arial" w:cs="Arial"/>
          <w:color w:val="010000"/>
          <w:sz w:val="20"/>
        </w:rPr>
        <w:t>Loc</w:t>
      </w:r>
      <w:proofErr w:type="spellEnd"/>
      <w:r w:rsidR="00D446DC" w:rsidRPr="00D81958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="00D446DC" w:rsidRPr="00D81958">
        <w:rPr>
          <w:rFonts w:ascii="Arial" w:hAnsi="Arial" w:cs="Arial"/>
          <w:color w:val="010000"/>
          <w:sz w:val="20"/>
        </w:rPr>
        <w:t>Nghe</w:t>
      </w:r>
      <w:proofErr w:type="spellEnd"/>
      <w:r w:rsidR="00D446DC" w:rsidRPr="00D81958">
        <w:rPr>
          <w:rFonts w:ascii="Arial" w:hAnsi="Arial" w:cs="Arial"/>
          <w:color w:val="010000"/>
          <w:sz w:val="20"/>
        </w:rPr>
        <w:t xml:space="preserve"> An Provinc</w:t>
      </w:r>
      <w:r w:rsidRPr="00D81958">
        <w:rPr>
          <w:rFonts w:ascii="Arial" w:hAnsi="Arial" w:cs="Arial"/>
          <w:color w:val="010000"/>
          <w:sz w:val="20"/>
        </w:rPr>
        <w:t>e</w:t>
      </w:r>
    </w:p>
    <w:p w14:paraId="00000017" w14:textId="77777777" w:rsidR="00F403C0" w:rsidRPr="00D81958" w:rsidRDefault="00D570C0" w:rsidP="00D446D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Total investment (after tax):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2,400,000,000,000</w:t>
      </w:r>
    </w:p>
    <w:p w14:paraId="00000018" w14:textId="3FA80196" w:rsidR="00F403C0" w:rsidRPr="00D81958" w:rsidRDefault="00D446DC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Allocation of capital:</w:t>
      </w:r>
    </w:p>
    <w:p w14:paraId="00000019" w14:textId="77777777" w:rsidR="00F403C0" w:rsidRPr="00D81958" w:rsidRDefault="00D570C0" w:rsidP="00D446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Stage I investment capital: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1,485,000,000,000</w:t>
      </w:r>
    </w:p>
    <w:p w14:paraId="0000001A" w14:textId="1E3BDE4E" w:rsidR="00F403C0" w:rsidRPr="00D81958" w:rsidRDefault="00D446DC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In which:</w:t>
      </w:r>
    </w:p>
    <w:p w14:paraId="0000001B" w14:textId="3F80589E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2"/>
          <w:tab w:val="left" w:pos="4253"/>
          <w:tab w:val="left" w:pos="6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Compensation, site clearance, and construction expense:</w:t>
      </w:r>
      <w:r w:rsidR="00D446DC"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225,000,000,000</w:t>
      </w:r>
    </w:p>
    <w:p w14:paraId="0000001C" w14:textId="3633B8B5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7"/>
          <w:tab w:val="left" w:pos="4253"/>
          <w:tab w:val="left" w:pos="6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Machinery, technical and equipment </w:t>
      </w:r>
      <w:r w:rsidR="00D446DC" w:rsidRPr="00D81958">
        <w:rPr>
          <w:rFonts w:ascii="Arial" w:hAnsi="Arial" w:cs="Arial"/>
          <w:color w:val="010000"/>
          <w:sz w:val="20"/>
        </w:rPr>
        <w:t>expenses</w:t>
      </w:r>
      <w:r w:rsidRPr="00D81958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980,000,000,000</w:t>
      </w:r>
    </w:p>
    <w:p w14:paraId="0000001D" w14:textId="2A6C7E73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7"/>
          <w:tab w:val="left" w:pos="4253"/>
          <w:tab w:val="center" w:pos="5588"/>
          <w:tab w:val="left" w:pos="6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Other expenses forming fixed assets:</w:t>
      </w:r>
      <w:r w:rsidR="00D446DC"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90,000,000,000</w:t>
      </w:r>
    </w:p>
    <w:p w14:paraId="0000001E" w14:textId="7941B5F1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7"/>
          <w:tab w:val="left" w:pos="4253"/>
          <w:tab w:val="left" w:pos="6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Provision expense: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70,000,000,000</w:t>
      </w:r>
    </w:p>
    <w:p w14:paraId="0000001F" w14:textId="68EDD59C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57"/>
          <w:tab w:val="left" w:pos="4253"/>
          <w:tab w:val="left" w:pos="6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Working capital: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120,000,000,000</w:t>
      </w:r>
    </w:p>
    <w:p w14:paraId="00000020" w14:textId="77777777" w:rsidR="00F403C0" w:rsidRPr="00D81958" w:rsidRDefault="00D570C0" w:rsidP="00D446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25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Stage II investment capital: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915,000,000,000</w:t>
      </w:r>
    </w:p>
    <w:p w14:paraId="00000021" w14:textId="77777777" w:rsidR="00F403C0" w:rsidRPr="00D81958" w:rsidRDefault="00D570C0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In which:</w:t>
      </w:r>
    </w:p>
    <w:p w14:paraId="00000022" w14:textId="1A5018C4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57"/>
          <w:tab w:val="left" w:pos="1932"/>
          <w:tab w:val="left" w:pos="4253"/>
          <w:tab w:val="left" w:pos="6306"/>
          <w:tab w:val="left" w:pos="82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Construction expense: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75,000,000,000</w:t>
      </w:r>
    </w:p>
    <w:p w14:paraId="00000023" w14:textId="4CE57897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57"/>
          <w:tab w:val="left" w:pos="1932"/>
          <w:tab w:val="center" w:pos="4194"/>
          <w:tab w:val="left" w:pos="4253"/>
          <w:tab w:val="left" w:pos="6306"/>
          <w:tab w:val="right" w:pos="88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Machinery, technical and equipment expense: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600,000,000,000</w:t>
      </w:r>
    </w:p>
    <w:p w14:paraId="00000024" w14:textId="56D24928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62"/>
          <w:tab w:val="left" w:pos="1937"/>
          <w:tab w:val="left" w:pos="4253"/>
          <w:tab w:val="center" w:pos="5020"/>
          <w:tab w:val="left" w:pos="6306"/>
          <w:tab w:val="right" w:pos="88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Other expenses forming fixed assets:</w:t>
      </w:r>
      <w:r w:rsidR="00D446DC"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80,000,000,000</w:t>
      </w:r>
    </w:p>
    <w:p w14:paraId="00000025" w14:textId="1E79DD65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62"/>
          <w:tab w:val="left" w:pos="1937"/>
          <w:tab w:val="left" w:pos="4253"/>
          <w:tab w:val="left" w:pos="6306"/>
          <w:tab w:val="right" w:pos="88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Provision expense:</w:t>
      </w:r>
      <w:r w:rsidR="00D446DC"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60,000,000,000</w:t>
      </w:r>
    </w:p>
    <w:p w14:paraId="00000026" w14:textId="5FA03CB9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82"/>
          <w:tab w:val="left" w:pos="4253"/>
          <w:tab w:val="left" w:pos="63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Working capital:</w:t>
      </w:r>
      <w:r w:rsidR="00D446DC" w:rsidRPr="00D8195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81958">
        <w:rPr>
          <w:rFonts w:ascii="Arial" w:hAnsi="Arial" w:cs="Arial"/>
          <w:color w:val="010000"/>
          <w:sz w:val="20"/>
        </w:rPr>
        <w:t>VND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100,000,000,000</w:t>
      </w:r>
    </w:p>
    <w:p w14:paraId="00000027" w14:textId="77777777" w:rsidR="00F403C0" w:rsidRPr="00D81958" w:rsidRDefault="00D570C0" w:rsidP="00D446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87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Investment capital source:</w:t>
      </w:r>
    </w:p>
    <w:p w14:paraId="00000028" w14:textId="77777777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82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Bank credit loans;</w:t>
      </w:r>
    </w:p>
    <w:p w14:paraId="00000029" w14:textId="77777777" w:rsidR="00F403C0" w:rsidRPr="00D81958" w:rsidRDefault="00D570C0" w:rsidP="00D44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72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Owner’s equity and other capital mobilization.</w:t>
      </w:r>
    </w:p>
    <w:p w14:paraId="0000002A" w14:textId="175706B0" w:rsidR="00F403C0" w:rsidRPr="00D81958" w:rsidRDefault="00D570C0" w:rsidP="00D446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87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Method of project management: </w:t>
      </w:r>
      <w:proofErr w:type="spellStart"/>
      <w:r w:rsidRPr="00D81958">
        <w:rPr>
          <w:rFonts w:ascii="Arial" w:hAnsi="Arial" w:cs="Arial"/>
          <w:color w:val="010000"/>
          <w:sz w:val="20"/>
        </w:rPr>
        <w:t>Trung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Do Joint Stock Company, the investor of the project, will directly administer and manage the project.</w:t>
      </w:r>
    </w:p>
    <w:p w14:paraId="0000002B" w14:textId="7212F0E3" w:rsidR="00F403C0" w:rsidRPr="00D81958" w:rsidRDefault="00D570C0" w:rsidP="00D446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87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Execution time:</w:t>
      </w:r>
    </w:p>
    <w:p w14:paraId="0000002C" w14:textId="77777777" w:rsidR="00F403C0" w:rsidRPr="00D81958" w:rsidRDefault="00D570C0" w:rsidP="00D446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30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Stage 1: Invest in construction, complete and implement the project before January 1, 2025.</w:t>
      </w:r>
    </w:p>
    <w:p w14:paraId="0000002D" w14:textId="77777777" w:rsidR="00F403C0" w:rsidRPr="00D81958" w:rsidRDefault="00D570C0" w:rsidP="00D446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630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>Stage 2: Invest in construction, complete and implement the project in March 2026.</w:t>
      </w:r>
    </w:p>
    <w:p w14:paraId="0000002E" w14:textId="77777777" w:rsidR="00F403C0" w:rsidRPr="00D81958" w:rsidRDefault="00D570C0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1958">
        <w:rPr>
          <w:rFonts w:ascii="Arial" w:hAnsi="Arial" w:cs="Arial"/>
          <w:color w:val="010000"/>
          <w:sz w:val="20"/>
        </w:rPr>
        <w:t xml:space="preserve">Article 2: </w:t>
      </w:r>
      <w:proofErr w:type="spellStart"/>
      <w:r w:rsidRPr="00D81958">
        <w:rPr>
          <w:rFonts w:ascii="Arial" w:hAnsi="Arial" w:cs="Arial"/>
          <w:color w:val="010000"/>
          <w:sz w:val="20"/>
        </w:rPr>
        <w:t>Trung</w:t>
      </w:r>
      <w:proofErr w:type="spellEnd"/>
      <w:r w:rsidRPr="00D81958">
        <w:rPr>
          <w:rFonts w:ascii="Arial" w:hAnsi="Arial" w:cs="Arial"/>
          <w:color w:val="010000"/>
          <w:sz w:val="20"/>
        </w:rPr>
        <w:t xml:space="preserve"> Do Joint Stock Company is responsible for implementing investment procedures in accordance with the regulations of law</w:t>
      </w:r>
    </w:p>
    <w:p w14:paraId="0000002F" w14:textId="243A7580" w:rsidR="00F403C0" w:rsidRPr="00D81958" w:rsidRDefault="00D570C0" w:rsidP="00D446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253"/>
          <w:tab w:val="left" w:pos="100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81958">
        <w:rPr>
          <w:rFonts w:ascii="Arial" w:hAnsi="Arial" w:cs="Arial"/>
          <w:color w:val="010000"/>
          <w:sz w:val="20"/>
        </w:rPr>
        <w:lastRenderedPageBreak/>
        <w:t xml:space="preserve">Article 3: The Manager, </w:t>
      </w:r>
      <w:r w:rsidR="00D81958">
        <w:rPr>
          <w:rFonts w:ascii="Arial" w:hAnsi="Arial" w:cs="Arial"/>
          <w:color w:val="010000"/>
          <w:sz w:val="20"/>
        </w:rPr>
        <w:t xml:space="preserve">the </w:t>
      </w:r>
      <w:r w:rsidRPr="00D81958">
        <w:rPr>
          <w:rFonts w:ascii="Arial" w:hAnsi="Arial" w:cs="Arial"/>
          <w:color w:val="010000"/>
          <w:sz w:val="20"/>
        </w:rPr>
        <w:t>Deputy Manager</w:t>
      </w:r>
      <w:r w:rsidR="00D81958">
        <w:rPr>
          <w:rFonts w:ascii="Arial" w:hAnsi="Arial" w:cs="Arial"/>
          <w:color w:val="010000"/>
          <w:sz w:val="20"/>
        </w:rPr>
        <w:t>s</w:t>
      </w:r>
      <w:r w:rsidRPr="00D81958">
        <w:rPr>
          <w:rFonts w:ascii="Arial" w:hAnsi="Arial" w:cs="Arial"/>
          <w:color w:val="010000"/>
          <w:sz w:val="20"/>
        </w:rPr>
        <w:t>, heads of departments and divisions of the Company and relevant units are responsible for the implementation of this Decision.</w:t>
      </w:r>
    </w:p>
    <w:sectPr w:rsidR="00F403C0" w:rsidRPr="00D81958" w:rsidSect="00D446D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8D4"/>
    <w:multiLevelType w:val="multilevel"/>
    <w:tmpl w:val="E89ADF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407A09"/>
    <w:multiLevelType w:val="multilevel"/>
    <w:tmpl w:val="1B48EA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24A5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302156"/>
    <w:multiLevelType w:val="multilevel"/>
    <w:tmpl w:val="C478D09E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98077F"/>
    <w:multiLevelType w:val="multilevel"/>
    <w:tmpl w:val="BB42819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B5541C5"/>
    <w:multiLevelType w:val="multilevel"/>
    <w:tmpl w:val="433CA18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EFD0D20"/>
    <w:multiLevelType w:val="multilevel"/>
    <w:tmpl w:val="30F8192E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0"/>
    <w:rsid w:val="0018785C"/>
    <w:rsid w:val="00B85BF8"/>
    <w:rsid w:val="00CB0E08"/>
    <w:rsid w:val="00D40812"/>
    <w:rsid w:val="00D446DC"/>
    <w:rsid w:val="00D570C0"/>
    <w:rsid w:val="00D80BDD"/>
    <w:rsid w:val="00D81958"/>
    <w:rsid w:val="00F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0187E"/>
  <w15:docId w15:val="{F474DA2F-40DB-46A8-90B7-6CCD7DB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/+VfUG0Sm/xblzT1vUu8o8TUcQ==">CgMxLjAyCGguZ2pkZ3hzOAByITExam51Sk9pTU1qSUl1Mm9JTUlxNGM2TlJNTUdyVUpFcg==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2024-01-18T04:10:00Z</dcterms:created>
  <dcterms:modified xsi:type="dcterms:W3CDTF">2024-01-18T04:10:00Z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2e8258753fec88599b7eec3fc0394f3ce27e92c904181b498e5d8d97219971da</vt:lpwstr>
  </property>
</Properties>
</file>