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9177C" w14:textId="3C1D041E" w:rsidR="00977E34" w:rsidRPr="008B0C2A" w:rsidRDefault="002B3636" w:rsidP="00E751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87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B0C2A">
        <w:rPr>
          <w:rFonts w:ascii="Arial" w:hAnsi="Arial" w:cs="Arial"/>
          <w:b/>
          <w:bCs/>
          <w:color w:val="010000"/>
          <w:sz w:val="20"/>
        </w:rPr>
        <w:t>BVB122028</w:t>
      </w:r>
      <w:r w:rsidR="00FB140C" w:rsidRPr="008B0C2A">
        <w:rPr>
          <w:rFonts w:ascii="Arial" w:hAnsi="Arial" w:cs="Arial"/>
          <w:b/>
          <w:bCs/>
          <w:color w:val="010000"/>
          <w:sz w:val="20"/>
        </w:rPr>
        <w:t>:</w:t>
      </w:r>
      <w:r w:rsidRPr="008B0C2A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FC6BD9A" w14:textId="7CDD406A" w:rsidR="00977E34" w:rsidRPr="008B0C2A" w:rsidRDefault="002B3636" w:rsidP="00E751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8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C2A">
        <w:rPr>
          <w:rFonts w:ascii="Arial" w:hAnsi="Arial" w:cs="Arial"/>
          <w:color w:val="010000"/>
          <w:sz w:val="20"/>
        </w:rPr>
        <w:t xml:space="preserve">On January 15, 2024, </w:t>
      </w:r>
      <w:r w:rsidR="00FB140C" w:rsidRPr="008B0C2A">
        <w:rPr>
          <w:rFonts w:ascii="Arial" w:hAnsi="Arial" w:cs="Arial"/>
          <w:color w:val="010000"/>
          <w:sz w:val="20"/>
        </w:rPr>
        <w:t>Viet Capital Bank</w:t>
      </w:r>
      <w:r w:rsidRPr="008B0C2A">
        <w:rPr>
          <w:rFonts w:ascii="Arial" w:hAnsi="Arial" w:cs="Arial"/>
          <w:color w:val="010000"/>
          <w:sz w:val="20"/>
        </w:rPr>
        <w:t xml:space="preserve"> announced Decision No. 15/24/QD-HDQT on early redemption of </w:t>
      </w:r>
      <w:r w:rsidR="00FB140C" w:rsidRPr="008B0C2A">
        <w:rPr>
          <w:rFonts w:ascii="Arial" w:hAnsi="Arial" w:cs="Arial"/>
          <w:color w:val="010000"/>
          <w:sz w:val="20"/>
        </w:rPr>
        <w:t xml:space="preserve">issued </w:t>
      </w:r>
      <w:r w:rsidRPr="008B0C2A">
        <w:rPr>
          <w:rFonts w:ascii="Arial" w:hAnsi="Arial" w:cs="Arial"/>
          <w:color w:val="010000"/>
          <w:sz w:val="20"/>
        </w:rPr>
        <w:t>bonds (codes BVB122028, BVB12201, BVB12203) as follows:</w:t>
      </w:r>
    </w:p>
    <w:p w14:paraId="56647058" w14:textId="3F801A5A" w:rsidR="00977E34" w:rsidRPr="008B0C2A" w:rsidRDefault="002B3636" w:rsidP="00E751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B0C2A">
        <w:rPr>
          <w:rFonts w:ascii="Arial" w:hAnsi="Arial" w:cs="Arial"/>
          <w:color w:val="010000"/>
          <w:sz w:val="20"/>
        </w:rPr>
        <w:t>‎‎Article 1.</w:t>
      </w:r>
      <w:proofErr w:type="gramEnd"/>
      <w:r w:rsidRPr="008B0C2A">
        <w:rPr>
          <w:rFonts w:ascii="Arial" w:hAnsi="Arial" w:cs="Arial"/>
          <w:color w:val="010000"/>
          <w:sz w:val="20"/>
        </w:rPr>
        <w:t xml:space="preserve"> Approve the early redemption of</w:t>
      </w:r>
      <w:r w:rsidR="00FB140C" w:rsidRPr="008B0C2A">
        <w:rPr>
          <w:rFonts w:ascii="Arial" w:hAnsi="Arial" w:cs="Arial"/>
          <w:color w:val="010000"/>
          <w:sz w:val="20"/>
        </w:rPr>
        <w:t xml:space="preserve"> issued </w:t>
      </w:r>
      <w:r w:rsidRPr="008B0C2A">
        <w:rPr>
          <w:rFonts w:ascii="Arial" w:hAnsi="Arial" w:cs="Arial"/>
          <w:color w:val="010000"/>
          <w:sz w:val="20"/>
        </w:rPr>
        <w:t>bonds (codes BVB122028, BVB12201, BVB12203) as follows: according to contents in Proposal No. 23/24/</w:t>
      </w:r>
      <w:proofErr w:type="spellStart"/>
      <w:r w:rsidRPr="008B0C2A">
        <w:rPr>
          <w:rFonts w:ascii="Arial" w:hAnsi="Arial" w:cs="Arial"/>
          <w:color w:val="010000"/>
          <w:sz w:val="20"/>
        </w:rPr>
        <w:t>BVBank</w:t>
      </w:r>
      <w:proofErr w:type="spellEnd"/>
      <w:r w:rsidRPr="008B0C2A">
        <w:rPr>
          <w:rFonts w:ascii="Arial" w:hAnsi="Arial" w:cs="Arial"/>
          <w:color w:val="010000"/>
          <w:sz w:val="20"/>
        </w:rPr>
        <w:t>/</w:t>
      </w:r>
      <w:proofErr w:type="spellStart"/>
      <w:r w:rsidRPr="008B0C2A">
        <w:rPr>
          <w:rFonts w:ascii="Arial" w:hAnsi="Arial" w:cs="Arial"/>
          <w:color w:val="010000"/>
          <w:sz w:val="20"/>
        </w:rPr>
        <w:t>TTr</w:t>
      </w:r>
      <w:proofErr w:type="spellEnd"/>
      <w:r w:rsidRPr="008B0C2A">
        <w:rPr>
          <w:rFonts w:ascii="Arial" w:hAnsi="Arial" w:cs="Arial"/>
          <w:color w:val="010000"/>
          <w:sz w:val="20"/>
        </w:rPr>
        <w:t xml:space="preserve">-TC dated January 11, 2024 of the Finance department with </w:t>
      </w:r>
      <w:r w:rsidR="00FB140C" w:rsidRPr="008B0C2A">
        <w:rPr>
          <w:rFonts w:ascii="Arial" w:hAnsi="Arial" w:cs="Arial"/>
          <w:color w:val="010000"/>
          <w:sz w:val="20"/>
        </w:rPr>
        <w:t xml:space="preserve">the </w:t>
      </w:r>
      <w:r w:rsidRPr="008B0C2A">
        <w:rPr>
          <w:rFonts w:ascii="Arial" w:hAnsi="Arial" w:cs="Arial"/>
          <w:color w:val="010000"/>
          <w:sz w:val="20"/>
        </w:rPr>
        <w:t>following main contents:</w:t>
      </w:r>
    </w:p>
    <w:p w14:paraId="6636D109" w14:textId="3F92081B" w:rsidR="00977E34" w:rsidRPr="008B0C2A" w:rsidRDefault="00FB140C" w:rsidP="00E75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C2A">
        <w:rPr>
          <w:rFonts w:ascii="Arial" w:hAnsi="Arial" w:cs="Arial"/>
          <w:color w:val="010000"/>
          <w:sz w:val="20"/>
        </w:rPr>
        <w:t>Codes</w:t>
      </w:r>
      <w:r w:rsidR="002B3636" w:rsidRPr="008B0C2A">
        <w:rPr>
          <w:rFonts w:ascii="Arial" w:hAnsi="Arial" w:cs="Arial"/>
          <w:color w:val="010000"/>
          <w:sz w:val="20"/>
        </w:rPr>
        <w:t xml:space="preserve"> of bonds expected to be repurchased: BVB122028, BVB12201, BVB12203</w:t>
      </w:r>
    </w:p>
    <w:p w14:paraId="5FFE23C7" w14:textId="77777777" w:rsidR="00977E34" w:rsidRPr="008B0C2A" w:rsidRDefault="002B3636" w:rsidP="00E75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C2A">
        <w:rPr>
          <w:rFonts w:ascii="Arial" w:hAnsi="Arial" w:cs="Arial"/>
          <w:color w:val="010000"/>
          <w:sz w:val="20"/>
        </w:rPr>
        <w:t>Number of bonds expected to be repurchased: 9,677,560 bonds</w:t>
      </w:r>
    </w:p>
    <w:p w14:paraId="33AF7D82" w14:textId="77777777" w:rsidR="00977E34" w:rsidRPr="008B0C2A" w:rsidRDefault="002B3636" w:rsidP="00E75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C2A">
        <w:rPr>
          <w:rFonts w:ascii="Arial" w:hAnsi="Arial" w:cs="Arial"/>
          <w:color w:val="010000"/>
          <w:sz w:val="20"/>
        </w:rPr>
        <w:t>Total bond value at par value: VND 1,127,740,000,000</w:t>
      </w:r>
    </w:p>
    <w:p w14:paraId="6E6EB380" w14:textId="77777777" w:rsidR="00977E34" w:rsidRPr="008B0C2A" w:rsidRDefault="002B3636" w:rsidP="00E75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6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C2A">
        <w:rPr>
          <w:rFonts w:ascii="Arial" w:hAnsi="Arial" w:cs="Arial"/>
          <w:color w:val="010000"/>
          <w:sz w:val="20"/>
        </w:rPr>
        <w:t>The specific date and quantity of bonds for the early redemption are as follo</w:t>
      </w:r>
      <w:bookmarkStart w:id="0" w:name="_GoBack"/>
      <w:r w:rsidRPr="008B0C2A">
        <w:rPr>
          <w:rFonts w:ascii="Arial" w:hAnsi="Arial" w:cs="Arial"/>
          <w:color w:val="010000"/>
          <w:sz w:val="20"/>
        </w:rPr>
        <w:t>w</w:t>
      </w:r>
      <w:bookmarkEnd w:id="0"/>
      <w:r w:rsidRPr="008B0C2A">
        <w:rPr>
          <w:rFonts w:ascii="Arial" w:hAnsi="Arial" w:cs="Arial"/>
          <w:color w:val="010000"/>
          <w:sz w:val="20"/>
        </w:rPr>
        <w:t>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4"/>
        <w:gridCol w:w="1514"/>
        <w:gridCol w:w="1654"/>
        <w:gridCol w:w="1640"/>
        <w:gridCol w:w="1591"/>
        <w:gridCol w:w="1996"/>
      </w:tblGrid>
      <w:tr w:rsidR="00977E34" w:rsidRPr="008B0C2A" w14:paraId="47F1140D" w14:textId="77777777" w:rsidTr="002B3636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E91616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0102B7" w14:textId="063DE3F5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 xml:space="preserve">Bond </w:t>
            </w:r>
            <w:r w:rsidR="004E3438" w:rsidRPr="008B0C2A">
              <w:rPr>
                <w:rFonts w:ascii="Arial" w:hAnsi="Arial" w:cs="Arial"/>
                <w:color w:val="010000"/>
                <w:sz w:val="20"/>
              </w:rPr>
              <w:t>code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D1ED37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Bond code (issued by HNX)</w:t>
            </w: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861C71" w14:textId="26650781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 xml:space="preserve">Number of bonds expected to be </w:t>
            </w:r>
            <w:r w:rsidR="004E3438" w:rsidRPr="008B0C2A">
              <w:rPr>
                <w:rFonts w:ascii="Arial" w:hAnsi="Arial" w:cs="Arial"/>
                <w:color w:val="010000"/>
                <w:sz w:val="20"/>
              </w:rPr>
              <w:t>repurchased</w:t>
            </w:r>
          </w:p>
        </w:tc>
        <w:tc>
          <w:tcPr>
            <w:tcW w:w="8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FDDD24" w14:textId="3EA023C4" w:rsidR="00977E34" w:rsidRPr="008B0C2A" w:rsidRDefault="002B3636" w:rsidP="004E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The value of the bonds for the early redemption (billion VND)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19697F" w14:textId="2088EC4C" w:rsidR="00977E34" w:rsidRPr="008B0C2A" w:rsidRDefault="002B3636" w:rsidP="004E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Expected execution time</w:t>
            </w:r>
          </w:p>
        </w:tc>
      </w:tr>
      <w:tr w:rsidR="00977E34" w:rsidRPr="008B0C2A" w14:paraId="5096A512" w14:textId="77777777" w:rsidTr="002B3636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9B0FF7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C03706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BVB122028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0B8ED0" w14:textId="77777777" w:rsidR="00977E34" w:rsidRPr="008B0C2A" w:rsidRDefault="00977E34" w:rsidP="002B3636">
            <w:pP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728CCA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9,677,400</w:t>
            </w:r>
          </w:p>
        </w:tc>
        <w:tc>
          <w:tcPr>
            <w:tcW w:w="8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900950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967.74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C1F310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February 26, 2024</w:t>
            </w:r>
          </w:p>
        </w:tc>
      </w:tr>
      <w:tr w:rsidR="00977E34" w:rsidRPr="008B0C2A" w14:paraId="073300E4" w14:textId="77777777" w:rsidTr="002B3636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4791D5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2</w:t>
            </w:r>
          </w:p>
        </w:tc>
        <w:tc>
          <w:tcPr>
            <w:tcW w:w="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B2809A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BVB12201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FC8730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BVBL2229007</w:t>
            </w: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DAFDD9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60</w:t>
            </w:r>
          </w:p>
        </w:tc>
        <w:tc>
          <w:tcPr>
            <w:tcW w:w="8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495DA0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60.00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999D44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March 05, 2024</w:t>
            </w:r>
          </w:p>
        </w:tc>
      </w:tr>
      <w:tr w:rsidR="00977E34" w:rsidRPr="008B0C2A" w14:paraId="3A697AF5" w14:textId="77777777" w:rsidTr="002B3636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B5CD5F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3</w:t>
            </w:r>
          </w:p>
        </w:tc>
        <w:tc>
          <w:tcPr>
            <w:tcW w:w="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94853C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BVB12203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C832D3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BVBL2229009</w:t>
            </w: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52B54C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100</w:t>
            </w:r>
          </w:p>
        </w:tc>
        <w:tc>
          <w:tcPr>
            <w:tcW w:w="8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020CFC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100.00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B8FA5D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April 01, 2024</w:t>
            </w:r>
          </w:p>
        </w:tc>
      </w:tr>
      <w:tr w:rsidR="00977E34" w:rsidRPr="008B0C2A" w14:paraId="5B8EA66D" w14:textId="77777777" w:rsidTr="002B3636">
        <w:tc>
          <w:tcPr>
            <w:tcW w:w="3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9ED32E" w14:textId="77777777" w:rsidR="00977E34" w:rsidRPr="008B0C2A" w:rsidRDefault="00977E34" w:rsidP="002B3636">
            <w:pP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18852C" w14:textId="77777777" w:rsidR="00977E34" w:rsidRPr="008B0C2A" w:rsidRDefault="002B3636" w:rsidP="002B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9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B9AD65" w14:textId="77777777" w:rsidR="00977E34" w:rsidRPr="008B0C2A" w:rsidRDefault="00977E34" w:rsidP="002B3636">
            <w:pPr>
              <w:tabs>
                <w:tab w:val="left" w:pos="42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3DCF50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9,677,560</w:t>
            </w:r>
          </w:p>
        </w:tc>
        <w:tc>
          <w:tcPr>
            <w:tcW w:w="87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46FED1" w14:textId="77777777" w:rsidR="00977E34" w:rsidRPr="008B0C2A" w:rsidRDefault="002B3636" w:rsidP="000F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B0C2A">
              <w:rPr>
                <w:rFonts w:ascii="Arial" w:hAnsi="Arial" w:cs="Arial"/>
                <w:bCs/>
                <w:color w:val="010000"/>
                <w:sz w:val="20"/>
              </w:rPr>
              <w:t>1,127.74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AA47BA" w14:textId="77777777" w:rsidR="00977E34" w:rsidRPr="008B0C2A" w:rsidRDefault="00977E34" w:rsidP="000F09DD">
            <w:pPr>
              <w:tabs>
                <w:tab w:val="left" w:pos="426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0A93872E" w14:textId="7663DFAE" w:rsidR="00977E34" w:rsidRPr="008B0C2A" w:rsidRDefault="002B3636" w:rsidP="00E75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C2A">
        <w:rPr>
          <w:rFonts w:ascii="Arial" w:hAnsi="Arial" w:cs="Arial"/>
          <w:color w:val="010000"/>
          <w:sz w:val="20"/>
        </w:rPr>
        <w:t xml:space="preserve">Other contents are according to </w:t>
      </w:r>
      <w:r w:rsidR="00FB140C" w:rsidRPr="008B0C2A">
        <w:rPr>
          <w:rFonts w:ascii="Arial" w:hAnsi="Arial" w:cs="Arial"/>
          <w:color w:val="010000"/>
          <w:sz w:val="20"/>
        </w:rPr>
        <w:t xml:space="preserve">the </w:t>
      </w:r>
      <w:r w:rsidRPr="008B0C2A">
        <w:rPr>
          <w:rFonts w:ascii="Arial" w:hAnsi="Arial" w:cs="Arial"/>
          <w:color w:val="010000"/>
          <w:sz w:val="20"/>
        </w:rPr>
        <w:t>Proposal.</w:t>
      </w:r>
    </w:p>
    <w:p w14:paraId="58B5B28C" w14:textId="4120C932" w:rsidR="00977E34" w:rsidRPr="008B0C2A" w:rsidRDefault="002B3636" w:rsidP="00E751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B0C2A">
        <w:rPr>
          <w:rFonts w:ascii="Arial" w:hAnsi="Arial" w:cs="Arial"/>
          <w:color w:val="010000"/>
          <w:sz w:val="20"/>
        </w:rPr>
        <w:t>‎‎Article 2.</w:t>
      </w:r>
      <w:proofErr w:type="gramEnd"/>
      <w:r w:rsidRPr="008B0C2A">
        <w:rPr>
          <w:rFonts w:ascii="Arial" w:hAnsi="Arial" w:cs="Arial"/>
          <w:color w:val="010000"/>
          <w:sz w:val="20"/>
        </w:rPr>
        <w:t xml:space="preserve"> The General Manager, based on Article 1 of this Decision, is assigned to carry out the legal procedures on share redemption in accordance with the provisions of law and </w:t>
      </w:r>
      <w:r w:rsidR="00FB140C" w:rsidRPr="008B0C2A">
        <w:rPr>
          <w:rFonts w:ascii="Arial" w:hAnsi="Arial" w:cs="Arial"/>
          <w:color w:val="010000"/>
          <w:sz w:val="20"/>
        </w:rPr>
        <w:t>Viet Capital Bank</w:t>
      </w:r>
      <w:r w:rsidRPr="008B0C2A">
        <w:rPr>
          <w:rFonts w:ascii="Arial" w:hAnsi="Arial" w:cs="Arial"/>
          <w:color w:val="010000"/>
          <w:sz w:val="20"/>
        </w:rPr>
        <w:t>. The General Manager was allowed to authorize another person to carry out the above-mentioned works.</w:t>
      </w:r>
    </w:p>
    <w:p w14:paraId="4D8F7F99" w14:textId="77777777" w:rsidR="00977E34" w:rsidRPr="008B0C2A" w:rsidRDefault="002B3636" w:rsidP="00E751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B0C2A">
        <w:rPr>
          <w:rFonts w:ascii="Arial" w:hAnsi="Arial" w:cs="Arial"/>
          <w:color w:val="010000"/>
          <w:sz w:val="20"/>
        </w:rPr>
        <w:t>‎‎Article 3.</w:t>
      </w:r>
      <w:proofErr w:type="gramEnd"/>
      <w:r w:rsidRPr="008B0C2A">
        <w:rPr>
          <w:rFonts w:ascii="Arial" w:hAnsi="Arial" w:cs="Arial"/>
          <w:color w:val="010000"/>
          <w:sz w:val="20"/>
        </w:rPr>
        <w:t xml:space="preserve"> This Board Decision takes effect on the date of its signing.</w:t>
      </w:r>
    </w:p>
    <w:p w14:paraId="151EE926" w14:textId="2A4D2247" w:rsidR="00977E34" w:rsidRPr="008B0C2A" w:rsidRDefault="002B3636" w:rsidP="00E751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B0C2A">
        <w:rPr>
          <w:rFonts w:ascii="Arial" w:hAnsi="Arial" w:cs="Arial"/>
          <w:color w:val="010000"/>
          <w:sz w:val="20"/>
        </w:rPr>
        <w:t>‎‎Article 4.</w:t>
      </w:r>
      <w:proofErr w:type="gramEnd"/>
      <w:r w:rsidRPr="008B0C2A">
        <w:rPr>
          <w:rFonts w:ascii="Arial" w:hAnsi="Arial" w:cs="Arial"/>
          <w:color w:val="010000"/>
          <w:sz w:val="20"/>
        </w:rPr>
        <w:t xml:space="preserve"> This Decision is applied throughout the system of </w:t>
      </w:r>
      <w:r w:rsidR="00FB140C" w:rsidRPr="008B0C2A">
        <w:rPr>
          <w:rFonts w:ascii="Arial" w:hAnsi="Arial" w:cs="Arial"/>
          <w:color w:val="010000"/>
          <w:sz w:val="20"/>
        </w:rPr>
        <w:t>Viet Capital Bank</w:t>
      </w:r>
      <w:r w:rsidRPr="008B0C2A">
        <w:rPr>
          <w:rFonts w:ascii="Arial" w:hAnsi="Arial" w:cs="Arial"/>
          <w:color w:val="010000"/>
          <w:sz w:val="20"/>
        </w:rPr>
        <w:t xml:space="preserve">. The General Manager, the Executive Board and relevant departments and individuals of </w:t>
      </w:r>
      <w:r w:rsidR="00FB140C" w:rsidRPr="008B0C2A">
        <w:rPr>
          <w:rFonts w:ascii="Arial" w:hAnsi="Arial" w:cs="Arial"/>
          <w:color w:val="010000"/>
          <w:sz w:val="20"/>
        </w:rPr>
        <w:t>Viet Capital Bank</w:t>
      </w:r>
      <w:r w:rsidRPr="008B0C2A">
        <w:rPr>
          <w:rFonts w:ascii="Arial" w:hAnsi="Arial" w:cs="Arial"/>
          <w:color w:val="010000"/>
          <w:sz w:val="20"/>
        </w:rPr>
        <w:t xml:space="preserve"> are responsible for </w:t>
      </w:r>
      <w:r w:rsidR="008B0C2A">
        <w:rPr>
          <w:rFonts w:ascii="Arial" w:hAnsi="Arial" w:cs="Arial"/>
          <w:color w:val="010000"/>
          <w:sz w:val="20"/>
        </w:rPr>
        <w:t xml:space="preserve">the </w:t>
      </w:r>
      <w:r w:rsidRPr="008B0C2A">
        <w:rPr>
          <w:rFonts w:ascii="Arial" w:hAnsi="Arial" w:cs="Arial"/>
          <w:color w:val="010000"/>
          <w:sz w:val="20"/>
        </w:rPr>
        <w:t>implementation of this Board Decision.</w:t>
      </w:r>
    </w:p>
    <w:sectPr w:rsidR="00977E34" w:rsidRPr="008B0C2A" w:rsidSect="002B3636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653"/>
    <w:multiLevelType w:val="multilevel"/>
    <w:tmpl w:val="217CF9C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34"/>
    <w:rsid w:val="000F09DD"/>
    <w:rsid w:val="002B3636"/>
    <w:rsid w:val="004E3438"/>
    <w:rsid w:val="008B0C2A"/>
    <w:rsid w:val="00977E34"/>
    <w:rsid w:val="00E7519B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ED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wK5oT3dqvvzH2NmQlNuvmxt2w==">CgMxLjA4AHIhMUxvSkRmZk9kYWp1NklhUWZrUXd2Qm9mS3pHcGtoUE1u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2024-01-18T12:19:00Z</dcterms:created>
  <dcterms:modified xsi:type="dcterms:W3CDTF">2024-01-19T07:22:00Z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db920ecbcd05df0a931ac50fbba8eff3ffa398039ae59eb9a321627b4f2b7531</vt:lpwstr>
  </property>
</Properties>
</file>