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B77849C" w:rsidR="006F06C8" w:rsidRPr="00142D37" w:rsidRDefault="000B54B6" w:rsidP="0035797E">
      <w:pPr>
        <w:pBdr>
          <w:top w:val="nil"/>
          <w:left w:val="nil"/>
          <w:bottom w:val="nil"/>
          <w:right w:val="nil"/>
          <w:between w:val="nil"/>
        </w:pBdr>
        <w:tabs>
          <w:tab w:val="left" w:pos="567"/>
        </w:tabs>
        <w:spacing w:after="120" w:line="360" w:lineRule="auto"/>
        <w:jc w:val="both"/>
        <w:rPr>
          <w:rFonts w:ascii="Arial" w:eastAsia="Arial" w:hAnsi="Arial" w:cs="Arial"/>
          <w:b/>
          <w:color w:val="010000"/>
          <w:sz w:val="20"/>
          <w:szCs w:val="20"/>
        </w:rPr>
      </w:pPr>
      <w:r w:rsidRPr="00142D37">
        <w:rPr>
          <w:rFonts w:ascii="Arial" w:hAnsi="Arial" w:cs="Arial"/>
          <w:b/>
          <w:bCs/>
          <w:color w:val="010000"/>
          <w:sz w:val="20"/>
        </w:rPr>
        <w:t>BVB122028</w:t>
      </w:r>
      <w:r w:rsidR="00C02C7F" w:rsidRPr="00142D37">
        <w:rPr>
          <w:rFonts w:ascii="Arial" w:hAnsi="Arial" w:cs="Arial"/>
          <w:b/>
          <w:bCs/>
          <w:color w:val="010000"/>
          <w:sz w:val="20"/>
        </w:rPr>
        <w:t>:</w:t>
      </w:r>
      <w:r w:rsidRPr="00142D37">
        <w:rPr>
          <w:rFonts w:ascii="Arial" w:hAnsi="Arial" w:cs="Arial"/>
          <w:b/>
          <w:color w:val="010000"/>
          <w:sz w:val="20"/>
        </w:rPr>
        <w:t xml:space="preserve"> Notice on the record date to pay interest bond</w:t>
      </w:r>
      <w:r w:rsidR="00C02C7F" w:rsidRPr="00142D37">
        <w:rPr>
          <w:rFonts w:ascii="Arial" w:hAnsi="Arial" w:cs="Arial"/>
          <w:b/>
          <w:color w:val="010000"/>
          <w:sz w:val="20"/>
        </w:rPr>
        <w:t>s</w:t>
      </w:r>
    </w:p>
    <w:p w14:paraId="00000002" w14:textId="77777777" w:rsidR="006F06C8" w:rsidRPr="00142D37" w:rsidRDefault="000B54B6" w:rsidP="0035797E">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142D37">
        <w:rPr>
          <w:rFonts w:ascii="Arial" w:hAnsi="Arial" w:cs="Arial"/>
          <w:color w:val="010000"/>
          <w:sz w:val="20"/>
        </w:rPr>
        <w:t>On January 16, 2024, Viet Capital Bank announced Notice No. 198/24/</w:t>
      </w:r>
      <w:proofErr w:type="spellStart"/>
      <w:r w:rsidRPr="00142D37">
        <w:rPr>
          <w:rFonts w:ascii="Arial" w:hAnsi="Arial" w:cs="Arial"/>
          <w:color w:val="010000"/>
          <w:sz w:val="20"/>
        </w:rPr>
        <w:t>BVBank</w:t>
      </w:r>
      <w:proofErr w:type="spellEnd"/>
      <w:r w:rsidRPr="00142D37">
        <w:rPr>
          <w:rFonts w:ascii="Arial" w:hAnsi="Arial" w:cs="Arial"/>
          <w:color w:val="010000"/>
          <w:sz w:val="20"/>
        </w:rPr>
        <w:t>/TB-TC on the record date to pay interest of BVB122028 bond in 2024 (from August 26, 2023 to February 26, 2024) and exercise the rights to purchase all the bonds before the maturity date as follows:</w:t>
      </w:r>
    </w:p>
    <w:p w14:paraId="00000003" w14:textId="649039D2" w:rsidR="006F06C8" w:rsidRPr="00142D37" w:rsidRDefault="000B54B6" w:rsidP="0035797E">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142D37">
        <w:rPr>
          <w:rFonts w:ascii="Arial" w:hAnsi="Arial" w:cs="Arial"/>
          <w:color w:val="010000"/>
          <w:sz w:val="20"/>
        </w:rPr>
        <w:t xml:space="preserve">Securities name: Viet Capital Commercial Joint Stock Bank </w:t>
      </w:r>
      <w:r w:rsidR="00C02C7F" w:rsidRPr="00142D37">
        <w:rPr>
          <w:rFonts w:ascii="Arial" w:hAnsi="Arial" w:cs="Arial"/>
          <w:color w:val="010000"/>
          <w:sz w:val="20"/>
        </w:rPr>
        <w:t xml:space="preserve">issued to the public </w:t>
      </w:r>
      <w:r w:rsidRPr="00142D37">
        <w:rPr>
          <w:rFonts w:ascii="Arial" w:hAnsi="Arial" w:cs="Arial"/>
          <w:color w:val="010000"/>
          <w:sz w:val="20"/>
        </w:rPr>
        <w:t>in 2021 - 2022 (Phase 2):</w:t>
      </w:r>
    </w:p>
    <w:p w14:paraId="00000004" w14:textId="77777777" w:rsidR="006F06C8" w:rsidRPr="00142D37" w:rsidRDefault="000B54B6" w:rsidP="0035797E">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142D37">
        <w:rPr>
          <w:rFonts w:ascii="Arial" w:hAnsi="Arial" w:cs="Arial"/>
          <w:color w:val="010000"/>
          <w:sz w:val="20"/>
        </w:rPr>
        <w:t>Securities code: BVB122028</w:t>
      </w:r>
    </w:p>
    <w:p w14:paraId="00000005" w14:textId="77777777" w:rsidR="006F06C8" w:rsidRPr="00142D37" w:rsidRDefault="000B54B6" w:rsidP="0035797E">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142D37">
        <w:rPr>
          <w:rFonts w:ascii="Arial" w:hAnsi="Arial" w:cs="Arial"/>
          <w:color w:val="010000"/>
          <w:sz w:val="20"/>
        </w:rPr>
        <w:t>Securities type: Corporate bond</w:t>
      </w:r>
    </w:p>
    <w:p w14:paraId="00000006" w14:textId="77777777" w:rsidR="006F06C8" w:rsidRPr="00142D37" w:rsidRDefault="000B54B6" w:rsidP="0035797E">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142D37">
        <w:rPr>
          <w:rFonts w:ascii="Arial" w:hAnsi="Arial" w:cs="Arial"/>
          <w:color w:val="010000"/>
          <w:sz w:val="20"/>
        </w:rPr>
        <w:t>Par value: VND 100,000/bond.</w:t>
      </w:r>
    </w:p>
    <w:p w14:paraId="00000007" w14:textId="77777777" w:rsidR="006F06C8" w:rsidRPr="00142D37" w:rsidRDefault="000B54B6" w:rsidP="0035797E">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142D37">
        <w:rPr>
          <w:rFonts w:ascii="Arial" w:hAnsi="Arial" w:cs="Arial"/>
          <w:color w:val="010000"/>
          <w:sz w:val="20"/>
        </w:rPr>
        <w:t>Exchange: HNX</w:t>
      </w:r>
    </w:p>
    <w:p w14:paraId="00000008" w14:textId="77777777" w:rsidR="006F06C8" w:rsidRPr="00142D37" w:rsidRDefault="000B54B6" w:rsidP="0035797E">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142D37">
        <w:rPr>
          <w:rFonts w:ascii="Arial" w:hAnsi="Arial" w:cs="Arial"/>
          <w:color w:val="010000"/>
          <w:sz w:val="20"/>
        </w:rPr>
        <w:t>Record date: January 31, 2024</w:t>
      </w:r>
    </w:p>
    <w:p w14:paraId="00000009" w14:textId="77777777" w:rsidR="006F06C8" w:rsidRPr="00142D37" w:rsidRDefault="000B54B6" w:rsidP="0035797E">
      <w:pPr>
        <w:keepNext/>
        <w:numPr>
          <w:ilvl w:val="0"/>
          <w:numId w:val="2"/>
        </w:numPr>
        <w:pBdr>
          <w:top w:val="nil"/>
          <w:left w:val="nil"/>
          <w:bottom w:val="nil"/>
          <w:right w:val="nil"/>
          <w:between w:val="nil"/>
        </w:pBdr>
        <w:tabs>
          <w:tab w:val="left" w:pos="567"/>
          <w:tab w:val="left" w:pos="1789"/>
        </w:tabs>
        <w:spacing w:after="120" w:line="360" w:lineRule="auto"/>
        <w:jc w:val="both"/>
        <w:rPr>
          <w:rFonts w:ascii="Arial" w:eastAsia="Arial" w:hAnsi="Arial" w:cs="Arial"/>
          <w:color w:val="010000"/>
          <w:sz w:val="20"/>
          <w:szCs w:val="20"/>
        </w:rPr>
      </w:pPr>
      <w:r w:rsidRPr="00142D37">
        <w:rPr>
          <w:rFonts w:ascii="Arial" w:hAnsi="Arial" w:cs="Arial"/>
          <w:color w:val="010000"/>
          <w:sz w:val="20"/>
        </w:rPr>
        <w:t>Reasons and purposes:</w:t>
      </w:r>
    </w:p>
    <w:p w14:paraId="0000000A" w14:textId="77777777" w:rsidR="006F06C8" w:rsidRPr="00142D37" w:rsidRDefault="000B54B6" w:rsidP="0035797E">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142D37">
        <w:rPr>
          <w:rFonts w:ascii="Arial" w:hAnsi="Arial" w:cs="Arial"/>
          <w:color w:val="010000"/>
          <w:sz w:val="20"/>
        </w:rPr>
        <w:t xml:space="preserve">Pay interest of BVB122028 bond in 2024 (from August 26, 2023 to and excluding February 26, 2024); and exercise the rights to purchase all the BVB122028 bond before the maturity date (based on Decision No. 85/21/QD-HDQT of the Bank’s Board of Directors dated November 29, 2021 on approving public offering method to increase tier 2 capital in the 2021-2022 term and Decision No. 15/24/QD-HDQT dated January 15, 2024 on purchasing issued bonds before the maturity date (BVB122028, BVB12201, BVB12203 bond). </w:t>
      </w:r>
    </w:p>
    <w:p w14:paraId="0000000B" w14:textId="77777777" w:rsidR="006F06C8" w:rsidRPr="00142D37" w:rsidRDefault="000B54B6" w:rsidP="0035797E">
      <w:pPr>
        <w:keepNext/>
        <w:numPr>
          <w:ilvl w:val="0"/>
          <w:numId w:val="2"/>
        </w:numPr>
        <w:pBdr>
          <w:top w:val="nil"/>
          <w:left w:val="nil"/>
          <w:bottom w:val="nil"/>
          <w:right w:val="nil"/>
          <w:between w:val="nil"/>
        </w:pBdr>
        <w:tabs>
          <w:tab w:val="left" w:pos="567"/>
          <w:tab w:val="left" w:pos="1813"/>
        </w:tabs>
        <w:spacing w:after="120" w:line="360" w:lineRule="auto"/>
        <w:jc w:val="both"/>
        <w:rPr>
          <w:rFonts w:ascii="Arial" w:eastAsia="Arial" w:hAnsi="Arial" w:cs="Arial"/>
          <w:color w:val="010000"/>
          <w:sz w:val="20"/>
          <w:szCs w:val="20"/>
        </w:rPr>
      </w:pPr>
      <w:r w:rsidRPr="00142D37">
        <w:rPr>
          <w:rFonts w:ascii="Arial" w:hAnsi="Arial" w:cs="Arial"/>
          <w:color w:val="010000"/>
          <w:sz w:val="20"/>
        </w:rPr>
        <w:t>Specific contents:</w:t>
      </w:r>
    </w:p>
    <w:p w14:paraId="0000000C" w14:textId="070067C8" w:rsidR="006F06C8" w:rsidRPr="00142D37" w:rsidRDefault="000B54B6" w:rsidP="0035797E">
      <w:pPr>
        <w:numPr>
          <w:ilvl w:val="0"/>
          <w:numId w:val="3"/>
        </w:numPr>
        <w:pBdr>
          <w:top w:val="nil"/>
          <w:left w:val="nil"/>
          <w:bottom w:val="nil"/>
          <w:right w:val="nil"/>
          <w:between w:val="nil"/>
        </w:pBdr>
        <w:tabs>
          <w:tab w:val="left" w:pos="567"/>
          <w:tab w:val="left" w:pos="1555"/>
        </w:tabs>
        <w:spacing w:after="120" w:line="360" w:lineRule="auto"/>
        <w:jc w:val="both"/>
        <w:rPr>
          <w:rFonts w:ascii="Arial" w:eastAsia="Arial" w:hAnsi="Arial" w:cs="Arial"/>
          <w:color w:val="010000"/>
          <w:sz w:val="20"/>
          <w:szCs w:val="20"/>
        </w:rPr>
      </w:pPr>
      <w:r w:rsidRPr="00142D37">
        <w:rPr>
          <w:rFonts w:ascii="Arial" w:hAnsi="Arial" w:cs="Arial"/>
          <w:color w:val="010000"/>
          <w:sz w:val="20"/>
        </w:rPr>
        <w:t xml:space="preserve">Expected number of bonds </w:t>
      </w:r>
      <w:r w:rsidR="00142D37" w:rsidRPr="00142D37">
        <w:rPr>
          <w:rFonts w:ascii="Arial" w:hAnsi="Arial" w:cs="Arial"/>
          <w:color w:val="010000"/>
          <w:sz w:val="20"/>
        </w:rPr>
        <w:t xml:space="preserve">that the </w:t>
      </w:r>
      <w:r w:rsidRPr="00142D37">
        <w:rPr>
          <w:rFonts w:ascii="Arial" w:hAnsi="Arial" w:cs="Arial"/>
          <w:color w:val="010000"/>
          <w:sz w:val="20"/>
        </w:rPr>
        <w:t xml:space="preserve">Issuer </w:t>
      </w:r>
      <w:r w:rsidR="00142D37" w:rsidRPr="00142D37">
        <w:rPr>
          <w:rFonts w:ascii="Arial" w:hAnsi="Arial" w:cs="Arial"/>
          <w:color w:val="010000"/>
          <w:sz w:val="20"/>
        </w:rPr>
        <w:t>re</w:t>
      </w:r>
      <w:r w:rsidRPr="00142D37">
        <w:rPr>
          <w:rFonts w:ascii="Arial" w:hAnsi="Arial" w:cs="Arial"/>
          <w:color w:val="010000"/>
          <w:sz w:val="20"/>
        </w:rPr>
        <w:t>purchase</w:t>
      </w:r>
      <w:r w:rsidR="00142D37" w:rsidRPr="00142D37">
        <w:rPr>
          <w:rFonts w:ascii="Arial" w:hAnsi="Arial" w:cs="Arial"/>
          <w:color w:val="010000"/>
          <w:sz w:val="20"/>
        </w:rPr>
        <w:t>s</w:t>
      </w:r>
      <w:r w:rsidRPr="00142D37">
        <w:rPr>
          <w:rFonts w:ascii="Arial" w:hAnsi="Arial" w:cs="Arial"/>
          <w:color w:val="010000"/>
          <w:sz w:val="20"/>
        </w:rPr>
        <w:t>: 9,677,400 bonds, equivalent to the bond value of VND 967,740,000,000 at par value;</w:t>
      </w:r>
    </w:p>
    <w:p w14:paraId="0000000D" w14:textId="77777777" w:rsidR="006F06C8" w:rsidRPr="00142D37" w:rsidRDefault="000B54B6" w:rsidP="0035797E">
      <w:pPr>
        <w:numPr>
          <w:ilvl w:val="0"/>
          <w:numId w:val="3"/>
        </w:numPr>
        <w:pBdr>
          <w:top w:val="nil"/>
          <w:left w:val="nil"/>
          <w:bottom w:val="nil"/>
          <w:right w:val="nil"/>
          <w:between w:val="nil"/>
        </w:pBdr>
        <w:tabs>
          <w:tab w:val="left" w:pos="567"/>
          <w:tab w:val="left" w:pos="1555"/>
        </w:tabs>
        <w:spacing w:after="120" w:line="360" w:lineRule="auto"/>
        <w:jc w:val="both"/>
        <w:rPr>
          <w:rFonts w:ascii="Arial" w:eastAsia="Arial" w:hAnsi="Arial" w:cs="Arial"/>
          <w:color w:val="010000"/>
          <w:sz w:val="20"/>
          <w:szCs w:val="20"/>
        </w:rPr>
      </w:pPr>
      <w:r w:rsidRPr="00142D37">
        <w:rPr>
          <w:rFonts w:ascii="Arial" w:hAnsi="Arial" w:cs="Arial"/>
          <w:color w:val="010000"/>
          <w:sz w:val="20"/>
        </w:rPr>
        <w:t>Exercise rate: Purchase before the maturity date all the bonds of bond’s owner (Viet Capital Bank purchases 100% bonds)</w:t>
      </w:r>
    </w:p>
    <w:p w14:paraId="0000000E" w14:textId="77777777" w:rsidR="006F06C8" w:rsidRPr="00142D37" w:rsidRDefault="000B54B6" w:rsidP="0035797E">
      <w:pPr>
        <w:numPr>
          <w:ilvl w:val="0"/>
          <w:numId w:val="3"/>
        </w:numPr>
        <w:pBdr>
          <w:top w:val="nil"/>
          <w:left w:val="nil"/>
          <w:bottom w:val="nil"/>
          <w:right w:val="nil"/>
          <w:between w:val="nil"/>
        </w:pBdr>
        <w:tabs>
          <w:tab w:val="left" w:pos="567"/>
          <w:tab w:val="left" w:pos="1555"/>
        </w:tabs>
        <w:spacing w:after="120" w:line="360" w:lineRule="auto"/>
        <w:jc w:val="both"/>
        <w:rPr>
          <w:rFonts w:ascii="Arial" w:eastAsia="Arial" w:hAnsi="Arial" w:cs="Arial"/>
          <w:color w:val="010000"/>
          <w:sz w:val="20"/>
          <w:szCs w:val="20"/>
        </w:rPr>
      </w:pPr>
      <w:r w:rsidRPr="00142D37">
        <w:rPr>
          <w:rFonts w:ascii="Arial" w:hAnsi="Arial" w:cs="Arial"/>
          <w:color w:val="010000"/>
          <w:sz w:val="20"/>
        </w:rPr>
        <w:t>Purchasing value of each BVB122028 bond, including: VND 104,335.34/bond, in which:</w:t>
      </w:r>
    </w:p>
    <w:p w14:paraId="0000000F" w14:textId="77777777" w:rsidR="006F06C8" w:rsidRPr="00142D37" w:rsidRDefault="000B54B6" w:rsidP="0035797E">
      <w:pPr>
        <w:numPr>
          <w:ilvl w:val="0"/>
          <w:numId w:val="1"/>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142D37">
        <w:rPr>
          <w:rFonts w:ascii="Arial" w:hAnsi="Arial" w:cs="Arial"/>
          <w:color w:val="010000"/>
          <w:sz w:val="20"/>
        </w:rPr>
        <w:t>Par value of bond (principal): VND 100,000/bond.</w:t>
      </w:r>
    </w:p>
    <w:p w14:paraId="00000010" w14:textId="77777777" w:rsidR="006F06C8" w:rsidRPr="00142D37" w:rsidRDefault="000B54B6" w:rsidP="0035797E">
      <w:pPr>
        <w:numPr>
          <w:ilvl w:val="0"/>
          <w:numId w:val="1"/>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142D37">
        <w:rPr>
          <w:rFonts w:ascii="Arial" w:hAnsi="Arial" w:cs="Arial"/>
          <w:color w:val="010000"/>
          <w:sz w:val="20"/>
        </w:rPr>
        <w:t>Interest (from and including August 26, 2023 to and excluding February 26, 2024): VND 4,335.34/bond, calculated according to the following formula (Rounded to 2 decimal places after the decimal point):</w:t>
      </w:r>
    </w:p>
    <w:p w14:paraId="00000011" w14:textId="77777777" w:rsidR="006F06C8" w:rsidRPr="00142D37" w:rsidRDefault="000B54B6" w:rsidP="0035797E">
      <w:pPr>
        <w:pBdr>
          <w:top w:val="nil"/>
          <w:left w:val="nil"/>
          <w:bottom w:val="nil"/>
          <w:right w:val="nil"/>
          <w:between w:val="nil"/>
        </w:pBdr>
        <w:tabs>
          <w:tab w:val="left" w:pos="567"/>
          <w:tab w:val="left" w:pos="3551"/>
          <w:tab w:val="left" w:pos="8582"/>
        </w:tabs>
        <w:spacing w:after="120" w:line="360" w:lineRule="auto"/>
        <w:jc w:val="both"/>
        <w:rPr>
          <w:rFonts w:ascii="Arial" w:eastAsia="Arial" w:hAnsi="Arial" w:cs="Arial"/>
          <w:color w:val="010000"/>
          <w:sz w:val="20"/>
          <w:szCs w:val="20"/>
        </w:rPr>
      </w:pPr>
      <w:r w:rsidRPr="00142D37">
        <w:rPr>
          <w:rFonts w:ascii="Arial" w:hAnsi="Arial" w:cs="Arial"/>
          <w:color w:val="010000"/>
          <w:sz w:val="20"/>
        </w:rPr>
        <w:t>1 bond interest = VND 100,000 X 8.6 (%/year) X 184/365 (days) = VND 104,335.34/bond</w:t>
      </w:r>
    </w:p>
    <w:p w14:paraId="00000012" w14:textId="77777777" w:rsidR="006F06C8" w:rsidRPr="00142D37" w:rsidRDefault="000B54B6" w:rsidP="0035797E">
      <w:pPr>
        <w:pBdr>
          <w:top w:val="nil"/>
          <w:left w:val="nil"/>
          <w:bottom w:val="nil"/>
          <w:right w:val="nil"/>
          <w:between w:val="nil"/>
        </w:pBdr>
        <w:tabs>
          <w:tab w:val="left" w:pos="567"/>
          <w:tab w:val="left" w:pos="6610"/>
        </w:tabs>
        <w:spacing w:after="120" w:line="360" w:lineRule="auto"/>
        <w:jc w:val="both"/>
        <w:rPr>
          <w:rFonts w:ascii="Arial" w:eastAsia="Arial" w:hAnsi="Arial" w:cs="Arial"/>
          <w:color w:val="010000"/>
          <w:sz w:val="20"/>
          <w:szCs w:val="20"/>
        </w:rPr>
      </w:pPr>
      <w:r w:rsidRPr="00142D37">
        <w:rPr>
          <w:rFonts w:ascii="Arial" w:hAnsi="Arial" w:cs="Arial"/>
          <w:color w:val="010000"/>
          <w:sz w:val="20"/>
        </w:rPr>
        <w:t>Total amount of bond interest actually received (*) = 1 bond's interest X number of bond owned</w:t>
      </w:r>
    </w:p>
    <w:p w14:paraId="00000013" w14:textId="77777777" w:rsidR="006F06C8" w:rsidRPr="00142D37" w:rsidRDefault="000B54B6" w:rsidP="0035797E">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142D37">
        <w:rPr>
          <w:rFonts w:ascii="Arial" w:hAnsi="Arial" w:cs="Arial"/>
          <w:color w:val="010000"/>
          <w:sz w:val="20"/>
        </w:rPr>
        <w:t>(*) The total amount of bond interest actually received by bondholders will be rounded to the unit (if the first decimal place is equal to or greater than 5, it is rounded up, if the first decimal place is less than 5, it is canceled).</w:t>
      </w:r>
    </w:p>
    <w:p w14:paraId="00000014" w14:textId="77777777" w:rsidR="006F06C8" w:rsidRPr="00142D37" w:rsidRDefault="000B54B6" w:rsidP="0035797E">
      <w:pPr>
        <w:numPr>
          <w:ilvl w:val="0"/>
          <w:numId w:val="3"/>
        </w:numPr>
        <w:pBdr>
          <w:top w:val="nil"/>
          <w:left w:val="nil"/>
          <w:bottom w:val="nil"/>
          <w:right w:val="nil"/>
          <w:between w:val="nil"/>
        </w:pBdr>
        <w:tabs>
          <w:tab w:val="left" w:pos="567"/>
          <w:tab w:val="left" w:pos="1555"/>
        </w:tabs>
        <w:spacing w:after="120" w:line="360" w:lineRule="auto"/>
        <w:jc w:val="both"/>
        <w:rPr>
          <w:rFonts w:ascii="Arial" w:eastAsia="Arial" w:hAnsi="Arial" w:cs="Arial"/>
          <w:color w:val="010000"/>
          <w:sz w:val="20"/>
          <w:szCs w:val="20"/>
        </w:rPr>
      </w:pPr>
      <w:r w:rsidRPr="00142D37">
        <w:rPr>
          <w:rFonts w:ascii="Arial" w:hAnsi="Arial" w:cs="Arial"/>
          <w:color w:val="010000"/>
          <w:sz w:val="20"/>
        </w:rPr>
        <w:t>Expected payment date of early redemption: 2/26/2024</w:t>
      </w:r>
    </w:p>
    <w:p w14:paraId="00000015" w14:textId="77777777" w:rsidR="006F06C8" w:rsidRPr="00142D37" w:rsidRDefault="000B54B6" w:rsidP="0035797E">
      <w:pPr>
        <w:numPr>
          <w:ilvl w:val="0"/>
          <w:numId w:val="3"/>
        </w:numPr>
        <w:pBdr>
          <w:top w:val="nil"/>
          <w:left w:val="nil"/>
          <w:bottom w:val="nil"/>
          <w:right w:val="nil"/>
          <w:between w:val="nil"/>
        </w:pBdr>
        <w:tabs>
          <w:tab w:val="left" w:pos="567"/>
          <w:tab w:val="left" w:pos="1555"/>
        </w:tabs>
        <w:spacing w:after="120" w:line="360" w:lineRule="auto"/>
        <w:jc w:val="both"/>
        <w:rPr>
          <w:rFonts w:ascii="Arial" w:eastAsia="Arial" w:hAnsi="Arial" w:cs="Arial"/>
          <w:color w:val="010000"/>
          <w:sz w:val="20"/>
          <w:szCs w:val="20"/>
        </w:rPr>
      </w:pPr>
      <w:r w:rsidRPr="00142D37">
        <w:rPr>
          <w:rFonts w:ascii="Arial" w:hAnsi="Arial" w:cs="Arial"/>
          <w:color w:val="010000"/>
          <w:sz w:val="20"/>
        </w:rPr>
        <w:lastRenderedPageBreak/>
        <w:t>Venue:</w:t>
      </w:r>
    </w:p>
    <w:p w14:paraId="00000016" w14:textId="77777777" w:rsidR="006F06C8" w:rsidRPr="00142D37" w:rsidRDefault="000B54B6" w:rsidP="0035797E">
      <w:pPr>
        <w:numPr>
          <w:ilvl w:val="0"/>
          <w:numId w:val="4"/>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142D37">
        <w:rPr>
          <w:rFonts w:ascii="Arial" w:hAnsi="Arial" w:cs="Arial"/>
          <w:color w:val="010000"/>
          <w:sz w:val="20"/>
        </w:rPr>
        <w:t>For deposited securities: Shareholders carry out the procedures to receive dividends by shares at the depository members where depository accounts are opened.</w:t>
      </w:r>
    </w:p>
    <w:p w14:paraId="00000017" w14:textId="721794CC" w:rsidR="006F06C8" w:rsidRPr="00142D37" w:rsidRDefault="000B54B6" w:rsidP="0035797E">
      <w:pPr>
        <w:numPr>
          <w:ilvl w:val="0"/>
          <w:numId w:val="4"/>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142D37">
        <w:rPr>
          <w:rFonts w:ascii="Arial" w:hAnsi="Arial" w:cs="Arial"/>
          <w:color w:val="010000"/>
          <w:sz w:val="20"/>
        </w:rPr>
        <w:t xml:space="preserve">For </w:t>
      </w:r>
      <w:proofErr w:type="spellStart"/>
      <w:r w:rsidRPr="00142D37">
        <w:rPr>
          <w:rFonts w:ascii="Arial" w:hAnsi="Arial" w:cs="Arial"/>
          <w:color w:val="010000"/>
          <w:sz w:val="20"/>
        </w:rPr>
        <w:t>undeposited</w:t>
      </w:r>
      <w:proofErr w:type="spellEnd"/>
      <w:r w:rsidRPr="00142D37">
        <w:rPr>
          <w:rFonts w:ascii="Arial" w:hAnsi="Arial" w:cs="Arial"/>
          <w:color w:val="010000"/>
          <w:sz w:val="20"/>
        </w:rPr>
        <w:t xml:space="preserve"> securities: Viet Capital Bank </w:t>
      </w:r>
      <w:r w:rsidR="00142D37" w:rsidRPr="00142D37">
        <w:rPr>
          <w:rFonts w:ascii="Arial" w:hAnsi="Arial" w:cs="Arial"/>
          <w:color w:val="010000"/>
          <w:sz w:val="20"/>
        </w:rPr>
        <w:t>transfers</w:t>
      </w:r>
      <w:r w:rsidRPr="00142D37">
        <w:rPr>
          <w:rFonts w:ascii="Arial" w:hAnsi="Arial" w:cs="Arial"/>
          <w:color w:val="010000"/>
          <w:sz w:val="20"/>
        </w:rPr>
        <w:t xml:space="preserve"> principal and interest to the spend account registered by bondholders at the time of registering to purchase bonds.</w:t>
      </w:r>
    </w:p>
    <w:p w14:paraId="0000001A" w14:textId="1967B681" w:rsidR="006F06C8" w:rsidRPr="00142D37" w:rsidRDefault="006F06C8" w:rsidP="00283F52">
      <w:pPr>
        <w:pBdr>
          <w:top w:val="nil"/>
          <w:left w:val="nil"/>
          <w:bottom w:val="nil"/>
          <w:right w:val="nil"/>
          <w:between w:val="nil"/>
        </w:pBdr>
        <w:tabs>
          <w:tab w:val="left" w:pos="567"/>
          <w:tab w:val="left" w:pos="1555"/>
        </w:tabs>
        <w:spacing w:after="120" w:line="360" w:lineRule="auto"/>
        <w:jc w:val="both"/>
        <w:rPr>
          <w:rFonts w:ascii="Arial" w:eastAsia="Arial" w:hAnsi="Arial" w:cs="Arial"/>
          <w:color w:val="010000"/>
          <w:sz w:val="20"/>
          <w:szCs w:val="20"/>
        </w:rPr>
      </w:pPr>
      <w:bookmarkStart w:id="0" w:name="_GoBack"/>
      <w:bookmarkEnd w:id="0"/>
    </w:p>
    <w:sectPr w:rsidR="006F06C8" w:rsidRPr="00142D37" w:rsidSect="000B54B6">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453DE"/>
    <w:multiLevelType w:val="multilevel"/>
    <w:tmpl w:val="537639A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EBE35BB"/>
    <w:multiLevelType w:val="multilevel"/>
    <w:tmpl w:val="294C94B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F0774E9"/>
    <w:multiLevelType w:val="multilevel"/>
    <w:tmpl w:val="F356F38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9C86E91"/>
    <w:multiLevelType w:val="multilevel"/>
    <w:tmpl w:val="EF7E725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C8"/>
    <w:rsid w:val="000B54B6"/>
    <w:rsid w:val="00142D37"/>
    <w:rsid w:val="00283F52"/>
    <w:rsid w:val="0035797E"/>
    <w:rsid w:val="006F06C8"/>
    <w:rsid w:val="00C02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2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UYSIdFC/q674oqf0wvx3yGCs+Q==">CgMxLjA4AHIhMWQzWkdoOWotc1RGemJpbDBGeVFXYXFRWk40bVhlZklm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408</Words>
  <Characters>2105</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2024-01-18T12:20:00Z</dcterms:created>
  <dcterms:modified xsi:type="dcterms:W3CDTF">2024-01-19T07:40:00Z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e7b3832a8d882a6cf1bce1edbfacaaedf7beff0f4cc8224c667269cba4dd08a2</vt:lpwstr>
  </property>
</Properties>
</file>