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3FBB" w14:textId="67BBA2FD" w:rsidR="00833408" w:rsidRPr="005F037F" w:rsidRDefault="005F5398" w:rsidP="005F53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5F037F">
        <w:rPr>
          <w:rFonts w:ascii="Arial" w:hAnsi="Arial" w:cs="Arial"/>
          <w:b/>
          <w:color w:val="010000"/>
          <w:sz w:val="20"/>
        </w:rPr>
        <w:t>SVG</w:t>
      </w:r>
      <w:proofErr w:type="spellEnd"/>
      <w:r w:rsidRPr="005F037F">
        <w:rPr>
          <w:rFonts w:ascii="Arial" w:hAnsi="Arial" w:cs="Arial"/>
          <w:b/>
          <w:color w:val="010000"/>
          <w:sz w:val="20"/>
        </w:rPr>
        <w:t xml:space="preserve">: </w:t>
      </w:r>
      <w:r w:rsidR="005F037F" w:rsidRPr="005F037F">
        <w:rPr>
          <w:rFonts w:ascii="Arial" w:hAnsi="Arial" w:cs="Arial"/>
          <w:b/>
          <w:color w:val="010000"/>
          <w:sz w:val="20"/>
        </w:rPr>
        <w:t>T</w:t>
      </w:r>
      <w:r w:rsidRPr="005F037F">
        <w:rPr>
          <w:rFonts w:ascii="Arial" w:hAnsi="Arial" w:cs="Arial"/>
          <w:b/>
          <w:color w:val="010000"/>
          <w:sz w:val="20"/>
        </w:rPr>
        <w:t xml:space="preserve">he audit results by the State Audit for the </w:t>
      </w:r>
      <w:r w:rsidR="005F037F" w:rsidRPr="005F037F">
        <w:rPr>
          <w:rFonts w:ascii="Arial" w:hAnsi="Arial" w:cs="Arial"/>
          <w:b/>
          <w:color w:val="010000"/>
          <w:sz w:val="20"/>
        </w:rPr>
        <w:t>Financial Statements</w:t>
      </w:r>
      <w:r w:rsidRPr="005F037F">
        <w:rPr>
          <w:rFonts w:ascii="Arial" w:hAnsi="Arial" w:cs="Arial"/>
          <w:b/>
          <w:color w:val="010000"/>
          <w:sz w:val="20"/>
        </w:rPr>
        <w:t xml:space="preserve"> 2022</w:t>
      </w:r>
    </w:p>
    <w:p w14:paraId="00000002" w14:textId="59EC6EBE" w:rsidR="0092518F" w:rsidRPr="005F037F" w:rsidRDefault="005F5398" w:rsidP="005F53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 xml:space="preserve">On </w:t>
      </w:r>
      <w:r w:rsidR="001E691D" w:rsidRPr="005F037F">
        <w:rPr>
          <w:rFonts w:ascii="Arial" w:hAnsi="Arial" w:cs="Arial"/>
          <w:color w:val="010000"/>
          <w:sz w:val="20"/>
        </w:rPr>
        <w:t>January</w:t>
      </w:r>
      <w:r w:rsidRPr="005F037F">
        <w:rPr>
          <w:rFonts w:ascii="Arial" w:hAnsi="Arial" w:cs="Arial"/>
          <w:color w:val="010000"/>
          <w:sz w:val="20"/>
        </w:rPr>
        <w:t xml:space="preserve"> 16, 2024, Industrial Gas and Welding Electrode </w:t>
      </w:r>
      <w:proofErr w:type="spellStart"/>
      <w:r w:rsidRPr="005F037F">
        <w:rPr>
          <w:rFonts w:ascii="Arial" w:hAnsi="Arial" w:cs="Arial"/>
          <w:color w:val="010000"/>
          <w:sz w:val="20"/>
        </w:rPr>
        <w:t>JSC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announced Official Dispatch No. 34/</w:t>
      </w:r>
      <w:proofErr w:type="spellStart"/>
      <w:r w:rsidRPr="005F037F">
        <w:rPr>
          <w:rFonts w:ascii="Arial" w:hAnsi="Arial" w:cs="Arial"/>
          <w:color w:val="010000"/>
          <w:sz w:val="20"/>
        </w:rPr>
        <w:t>CBTT-TCKT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as </w:t>
      </w:r>
      <w:r w:rsidR="005F037F" w:rsidRPr="005F037F">
        <w:rPr>
          <w:rFonts w:ascii="Arial" w:hAnsi="Arial" w:cs="Arial"/>
          <w:color w:val="010000"/>
          <w:sz w:val="20"/>
        </w:rPr>
        <w:t>follows</w:t>
      </w:r>
      <w:r w:rsidRPr="005F037F">
        <w:rPr>
          <w:rFonts w:ascii="Arial" w:hAnsi="Arial" w:cs="Arial"/>
          <w:color w:val="010000"/>
          <w:sz w:val="20"/>
        </w:rPr>
        <w:t>:</w:t>
      </w:r>
    </w:p>
    <w:p w14:paraId="00000003" w14:textId="5D9253BF" w:rsidR="0092518F" w:rsidRPr="005F037F" w:rsidRDefault="005F5398" w:rsidP="005F53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 xml:space="preserve">On January 16, 2024, Industrial Gas and Welding Electrode Joint Stock Company received </w:t>
      </w:r>
      <w:r w:rsidR="005F037F" w:rsidRPr="005F037F">
        <w:rPr>
          <w:rFonts w:ascii="Arial" w:hAnsi="Arial" w:cs="Arial"/>
          <w:color w:val="010000"/>
          <w:sz w:val="20"/>
        </w:rPr>
        <w:t>Notice</w:t>
      </w:r>
      <w:r w:rsidRPr="005F037F">
        <w:rPr>
          <w:rFonts w:ascii="Arial" w:hAnsi="Arial" w:cs="Arial"/>
          <w:color w:val="010000"/>
          <w:sz w:val="20"/>
        </w:rPr>
        <w:t xml:space="preserve"> No. 61/TB-</w:t>
      </w:r>
      <w:proofErr w:type="spellStart"/>
      <w:r w:rsidRPr="005F037F">
        <w:rPr>
          <w:rFonts w:ascii="Arial" w:hAnsi="Arial" w:cs="Arial"/>
          <w:color w:val="010000"/>
          <w:sz w:val="20"/>
        </w:rPr>
        <w:t>KTNN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on the disclosure of audit results at the company by the State Audit. Adjustment results in the </w:t>
      </w:r>
      <w:r w:rsidR="005F037F" w:rsidRPr="005F037F">
        <w:rPr>
          <w:rFonts w:ascii="Arial" w:hAnsi="Arial" w:cs="Arial"/>
          <w:color w:val="010000"/>
          <w:sz w:val="20"/>
        </w:rPr>
        <w:t>Financial Statements</w:t>
      </w:r>
      <w:r w:rsidRPr="005F037F">
        <w:rPr>
          <w:rFonts w:ascii="Arial" w:hAnsi="Arial" w:cs="Arial"/>
          <w:color w:val="010000"/>
          <w:sz w:val="20"/>
        </w:rPr>
        <w:t xml:space="preserve"> such as the balance sheet on December 31, 2022, and the operating results report for the year 2022 are attached. The reasons for the differences are:</w:t>
      </w:r>
    </w:p>
    <w:p w14:paraId="00000004" w14:textId="77777777" w:rsidR="0092518F" w:rsidRPr="005F037F" w:rsidRDefault="005F5398" w:rsidP="005F5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>Regarding the balance sheet as of December 31, 2022:</w:t>
      </w:r>
    </w:p>
    <w:p w14:paraId="00000005" w14:textId="77777777" w:rsidR="0092518F" w:rsidRPr="005F037F" w:rsidRDefault="005F5398" w:rsidP="005F53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 xml:space="preserve">Total assets increased by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120,045,767 </w:t>
      </w:r>
    </w:p>
    <w:p w14:paraId="00000006" w14:textId="51A3B1E8" w:rsidR="0092518F" w:rsidRPr="005F037F" w:rsidRDefault="005F5398" w:rsidP="005F53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>Tangible fixed assets: Firefighting system</w:t>
      </w:r>
      <w:r w:rsidR="005F037F" w:rsidRPr="005F037F">
        <w:rPr>
          <w:rFonts w:ascii="Arial" w:hAnsi="Arial" w:cs="Arial"/>
          <w:color w:val="010000"/>
          <w:sz w:val="20"/>
        </w:rPr>
        <w:t>:</w:t>
      </w:r>
      <w:r w:rsidRPr="005F037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1,159,655,000.</w:t>
      </w:r>
    </w:p>
    <w:p w14:paraId="00000007" w14:textId="77777777" w:rsidR="0092518F" w:rsidRPr="005F037F" w:rsidRDefault="005F5398" w:rsidP="005F53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 xml:space="preserve">Increase in the depreciation value of the Firefighting System: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41,017,427.</w:t>
      </w:r>
    </w:p>
    <w:p w14:paraId="00000008" w14:textId="77777777" w:rsidR="0092518F" w:rsidRPr="005F037F" w:rsidRDefault="005F5398" w:rsidP="005F53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 xml:space="preserve">Decrease in long-term prepayment expenses for the Firefighting System: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998,591,806.</w:t>
      </w:r>
    </w:p>
    <w:p w14:paraId="00000009" w14:textId="270AEB16" w:rsidR="0092518F" w:rsidRPr="005F037F" w:rsidRDefault="005F5398" w:rsidP="005F539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 xml:space="preserve">The </w:t>
      </w:r>
      <w:r w:rsidR="005F037F" w:rsidRPr="005F037F">
        <w:rPr>
          <w:rFonts w:ascii="Arial" w:hAnsi="Arial" w:cs="Arial"/>
          <w:color w:val="010000"/>
          <w:sz w:val="20"/>
        </w:rPr>
        <w:t xml:space="preserve">capital </w:t>
      </w:r>
      <w:r w:rsidRPr="005F037F">
        <w:rPr>
          <w:rFonts w:ascii="Arial" w:hAnsi="Arial" w:cs="Arial"/>
          <w:color w:val="010000"/>
          <w:sz w:val="20"/>
        </w:rPr>
        <w:t xml:space="preserve">source increased by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120,045,767 </w:t>
      </w:r>
    </w:p>
    <w:p w14:paraId="0000000A" w14:textId="68E96E47" w:rsidR="0092518F" w:rsidRPr="005F037F" w:rsidRDefault="005F5398" w:rsidP="005F53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>Taxes and other payables to the State</w:t>
      </w:r>
      <w:r w:rsidR="005F037F" w:rsidRPr="005F037F">
        <w:rPr>
          <w:rFonts w:ascii="Arial" w:hAnsi="Arial" w:cs="Arial"/>
          <w:color w:val="010000"/>
          <w:sz w:val="20"/>
        </w:rPr>
        <w:t>:</w:t>
      </w:r>
      <w:r w:rsidRPr="005F037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308,450,779.</w:t>
      </w:r>
    </w:p>
    <w:p w14:paraId="0000000B" w14:textId="5E3877FA" w:rsidR="0092518F" w:rsidRPr="005F037F" w:rsidRDefault="005F5398" w:rsidP="005F53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>Short-term accrued expenses</w:t>
      </w:r>
      <w:r w:rsidR="005F037F" w:rsidRPr="005F037F">
        <w:rPr>
          <w:rFonts w:ascii="Arial" w:hAnsi="Arial" w:cs="Arial"/>
          <w:color w:val="010000"/>
          <w:sz w:val="20"/>
        </w:rPr>
        <w:t>:</w:t>
      </w:r>
      <w:r w:rsidRPr="005F037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2,325,643,000.</w:t>
      </w:r>
    </w:p>
    <w:p w14:paraId="0000000C" w14:textId="375F9806" w:rsidR="0092518F" w:rsidRPr="005F037F" w:rsidRDefault="005F5398" w:rsidP="005F53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>Undistributed profit after tax in this period</w:t>
      </w:r>
      <w:r w:rsidR="005F037F" w:rsidRPr="005F037F">
        <w:rPr>
          <w:rFonts w:ascii="Arial" w:hAnsi="Arial" w:cs="Arial"/>
          <w:color w:val="010000"/>
          <w:sz w:val="20"/>
        </w:rPr>
        <w:t>:</w:t>
      </w:r>
      <w:r w:rsidRPr="005F037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1,897,146,454.</w:t>
      </w:r>
    </w:p>
    <w:p w14:paraId="0000000D" w14:textId="77777777" w:rsidR="0092518F" w:rsidRPr="005F037F" w:rsidRDefault="005F5398" w:rsidP="005F5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0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>Production and business activities results in 2022.</w:t>
      </w:r>
    </w:p>
    <w:p w14:paraId="0000000E" w14:textId="77777777" w:rsidR="0092518F" w:rsidRPr="005F037F" w:rsidRDefault="005F5398" w:rsidP="005F53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 xml:space="preserve">Increase in the cost of goods sold: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2,205,597,233.</w:t>
      </w:r>
    </w:p>
    <w:p w14:paraId="0000000F" w14:textId="4C2B432D" w:rsidR="0092518F" w:rsidRPr="005F037F" w:rsidRDefault="005F5398" w:rsidP="005F53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 xml:space="preserve">Selling expenses increased: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12,823,334.</w:t>
      </w:r>
    </w:p>
    <w:p w14:paraId="00000010" w14:textId="6957EEBA" w:rsidR="0092518F" w:rsidRPr="005F037F" w:rsidRDefault="005F5398" w:rsidP="005F53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>Decrease in expenses on current corporate income tax</w:t>
      </w:r>
      <w:r w:rsidR="005F037F">
        <w:rPr>
          <w:rFonts w:ascii="Arial" w:hAnsi="Arial" w:cs="Arial"/>
          <w:color w:val="010000"/>
          <w:sz w:val="20"/>
        </w:rPr>
        <w:t>:</w:t>
      </w:r>
      <w:r w:rsidRPr="005F037F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321,274,113.</w:t>
      </w:r>
    </w:p>
    <w:p w14:paraId="00000011" w14:textId="77777777" w:rsidR="0092518F" w:rsidRPr="005F037F" w:rsidRDefault="005F5398" w:rsidP="005F53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4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F037F">
        <w:rPr>
          <w:rFonts w:ascii="Arial" w:hAnsi="Arial" w:cs="Arial"/>
          <w:color w:val="010000"/>
          <w:sz w:val="20"/>
        </w:rPr>
        <w:t xml:space="preserve">Total profit after tax: </w:t>
      </w:r>
      <w:proofErr w:type="spellStart"/>
      <w:r w:rsidRPr="005F037F">
        <w:rPr>
          <w:rFonts w:ascii="Arial" w:hAnsi="Arial" w:cs="Arial"/>
          <w:color w:val="010000"/>
          <w:sz w:val="20"/>
        </w:rPr>
        <w:t>VND</w:t>
      </w:r>
      <w:proofErr w:type="spellEnd"/>
      <w:r w:rsidRPr="005F037F">
        <w:rPr>
          <w:rFonts w:ascii="Arial" w:hAnsi="Arial" w:cs="Arial"/>
          <w:color w:val="010000"/>
          <w:sz w:val="20"/>
        </w:rPr>
        <w:t xml:space="preserve"> 1,897,146,454.</w:t>
      </w:r>
    </w:p>
    <w:sectPr w:rsidR="0092518F" w:rsidRPr="005F037F" w:rsidSect="005F539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4618"/>
    <w:multiLevelType w:val="multilevel"/>
    <w:tmpl w:val="B290DEB8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1F8561C"/>
    <w:multiLevelType w:val="multilevel"/>
    <w:tmpl w:val="92F8A94E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CC6658"/>
    <w:multiLevelType w:val="multilevel"/>
    <w:tmpl w:val="D05CEC16"/>
    <w:lvl w:ilvl="0">
      <w:start w:val="1"/>
      <w:numFmt w:val="upperRoman"/>
      <w:lvlRestart w:val="0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7D6B53"/>
    <w:multiLevelType w:val="multilevel"/>
    <w:tmpl w:val="4C7EF97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8F"/>
    <w:rsid w:val="001E691D"/>
    <w:rsid w:val="005F037F"/>
    <w:rsid w:val="005F5398"/>
    <w:rsid w:val="00701DBD"/>
    <w:rsid w:val="00774BB0"/>
    <w:rsid w:val="00833408"/>
    <w:rsid w:val="0092518F"/>
    <w:rsid w:val="00FC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451CB"/>
  <w15:docId w15:val="{3A992B20-FA73-4AF1-B5FC-E8E38B2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ckJrqKZhspqxOsH2D5EF48IkQ==">CgMxLjA4AHIhMTVGNm5LRDVlZ0hsbjR4WEJGZ2J6YnVST1BUcTFoQnhY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2024-01-19T03:42:00Z</dcterms:created>
  <dcterms:modified xsi:type="dcterms:W3CDTF">2024-01-19T03:42:00Z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a2b5e54e4efcce504a8a508d91778cba2e06a349c213f92c7e68b8e79d461251</vt:lpwstr>
  </property>
</Properties>
</file>