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2CF6"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D30A70">
        <w:rPr>
          <w:rFonts w:ascii="Arial" w:hAnsi="Arial" w:cs="Arial"/>
          <w:b/>
          <w:bCs/>
          <w:color w:val="010000"/>
          <w:sz w:val="20"/>
        </w:rPr>
        <w:t>CC4</w:t>
      </w:r>
      <w:proofErr w:type="spellEnd"/>
      <w:r w:rsidRPr="00D30A70">
        <w:rPr>
          <w:rFonts w:ascii="Arial" w:hAnsi="Arial" w:cs="Arial"/>
          <w:b/>
          <w:bCs/>
          <w:color w:val="010000"/>
          <w:sz w:val="20"/>
        </w:rPr>
        <w:t>:</w:t>
      </w:r>
      <w:r w:rsidRPr="00D30A70">
        <w:rPr>
          <w:rFonts w:ascii="Arial" w:hAnsi="Arial" w:cs="Arial"/>
          <w:b/>
          <w:color w:val="010000"/>
          <w:sz w:val="20"/>
        </w:rPr>
        <w:t xml:space="preserve"> Board Resolution</w:t>
      </w:r>
    </w:p>
    <w:p w14:paraId="4F47C5CA"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 xml:space="preserve">On January 17, 2024, Investment and Construction Joint Stock Company </w:t>
      </w:r>
      <w:proofErr w:type="spellStart"/>
      <w:r w:rsidRPr="00D30A70">
        <w:rPr>
          <w:rFonts w:ascii="Arial" w:hAnsi="Arial" w:cs="Arial"/>
          <w:color w:val="010000"/>
          <w:sz w:val="20"/>
        </w:rPr>
        <w:t>No.4</w:t>
      </w:r>
      <w:proofErr w:type="spellEnd"/>
      <w:r w:rsidRPr="00D30A70">
        <w:rPr>
          <w:rFonts w:ascii="Arial" w:hAnsi="Arial" w:cs="Arial"/>
          <w:color w:val="010000"/>
          <w:sz w:val="20"/>
        </w:rPr>
        <w:t xml:space="preserve"> announced Resolution No. 02/2024/NQ-</w:t>
      </w:r>
      <w:proofErr w:type="spellStart"/>
      <w:r w:rsidRPr="00D30A70">
        <w:rPr>
          <w:rFonts w:ascii="Arial" w:hAnsi="Arial" w:cs="Arial"/>
          <w:color w:val="010000"/>
          <w:sz w:val="20"/>
        </w:rPr>
        <w:t>HDQT</w:t>
      </w:r>
      <w:proofErr w:type="spellEnd"/>
      <w:r w:rsidRPr="00D30A70">
        <w:rPr>
          <w:rFonts w:ascii="Arial" w:hAnsi="Arial" w:cs="Arial"/>
          <w:color w:val="010000"/>
          <w:sz w:val="20"/>
        </w:rPr>
        <w:t xml:space="preserve"> on approving the policy of signing and implementing the transactions and contracts between the Company and affiliated persons, as follows: </w:t>
      </w:r>
    </w:p>
    <w:p w14:paraId="0F7BA9DB"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 xml:space="preserve">‎‎Article 1. Approve the policy of signing and implementing the transactions and contracts between the Company and affiliated persons according to the provisions of Clause 1 and Clause 2, Article 167 of the Law on Enterprises 2020 expected to arise in the fiscal year 2024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6"/>
        <w:gridCol w:w="4783"/>
        <w:gridCol w:w="3468"/>
      </w:tblGrid>
      <w:tr w:rsidR="005C4D1C" w:rsidRPr="00D30A70" w14:paraId="506E99DE" w14:textId="77777777" w:rsidTr="00447CC2">
        <w:tc>
          <w:tcPr>
            <w:tcW w:w="425" w:type="pct"/>
            <w:shd w:val="clear" w:color="auto" w:fill="auto"/>
            <w:tcMar>
              <w:top w:w="0" w:type="dxa"/>
              <w:bottom w:w="0" w:type="dxa"/>
            </w:tcMar>
            <w:vAlign w:val="center"/>
          </w:tcPr>
          <w:p w14:paraId="162FF760"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No.</w:t>
            </w:r>
          </w:p>
        </w:tc>
        <w:tc>
          <w:tcPr>
            <w:tcW w:w="2652" w:type="pct"/>
            <w:shd w:val="clear" w:color="auto" w:fill="auto"/>
            <w:tcMar>
              <w:top w:w="0" w:type="dxa"/>
              <w:bottom w:w="0" w:type="dxa"/>
            </w:tcMar>
            <w:vAlign w:val="center"/>
          </w:tcPr>
          <w:p w14:paraId="4931D5EC" w14:textId="3F95A559"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Type of contract and transaction</w:t>
            </w:r>
          </w:p>
        </w:tc>
        <w:tc>
          <w:tcPr>
            <w:tcW w:w="1923" w:type="pct"/>
            <w:shd w:val="clear" w:color="auto" w:fill="auto"/>
            <w:tcMar>
              <w:top w:w="0" w:type="dxa"/>
              <w:bottom w:w="0" w:type="dxa"/>
            </w:tcMar>
            <w:vAlign w:val="center"/>
          </w:tcPr>
          <w:p w14:paraId="17E8937B" w14:textId="53102FAC"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Limit frame</w:t>
            </w:r>
            <w:r w:rsidR="00510EC9" w:rsidRPr="00D30A70">
              <w:rPr>
                <w:rFonts w:ascii="Arial" w:hAnsi="Arial" w:cs="Arial"/>
                <w:color w:val="010000"/>
                <w:sz w:val="20"/>
              </w:rPr>
              <w:t xml:space="preserve"> (*)</w:t>
            </w:r>
          </w:p>
        </w:tc>
      </w:tr>
      <w:tr w:rsidR="005C4D1C" w:rsidRPr="00D30A70" w14:paraId="1B7D6376" w14:textId="77777777" w:rsidTr="00447CC2">
        <w:tc>
          <w:tcPr>
            <w:tcW w:w="425" w:type="pct"/>
            <w:shd w:val="clear" w:color="auto" w:fill="auto"/>
            <w:tcMar>
              <w:top w:w="0" w:type="dxa"/>
              <w:bottom w:w="0" w:type="dxa"/>
            </w:tcMar>
            <w:vAlign w:val="center"/>
          </w:tcPr>
          <w:p w14:paraId="3E11BEBA"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1</w:t>
            </w:r>
          </w:p>
        </w:tc>
        <w:tc>
          <w:tcPr>
            <w:tcW w:w="2652" w:type="pct"/>
            <w:shd w:val="clear" w:color="auto" w:fill="auto"/>
            <w:tcMar>
              <w:top w:w="0" w:type="dxa"/>
              <w:bottom w:w="0" w:type="dxa"/>
            </w:tcMar>
            <w:vAlign w:val="center"/>
          </w:tcPr>
          <w:p w14:paraId="49CEC0AF" w14:textId="3E331235"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Lease/borrow/guarantee/mortgage contracts and transactions.</w:t>
            </w:r>
          </w:p>
        </w:tc>
        <w:tc>
          <w:tcPr>
            <w:tcW w:w="1923" w:type="pct"/>
            <w:shd w:val="clear" w:color="auto" w:fill="auto"/>
            <w:tcMar>
              <w:top w:w="0" w:type="dxa"/>
              <w:bottom w:w="0" w:type="dxa"/>
            </w:tcMar>
            <w:vAlign w:val="center"/>
          </w:tcPr>
          <w:p w14:paraId="1BC2CE9F"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Not exceeding 5% of the total value of the Company's assets/01 contract or transaction.</w:t>
            </w:r>
          </w:p>
        </w:tc>
      </w:tr>
      <w:tr w:rsidR="005C4D1C" w:rsidRPr="00D30A70" w14:paraId="2676CC34" w14:textId="77777777" w:rsidTr="00447CC2">
        <w:tc>
          <w:tcPr>
            <w:tcW w:w="425" w:type="pct"/>
            <w:shd w:val="clear" w:color="auto" w:fill="auto"/>
            <w:tcMar>
              <w:top w:w="0" w:type="dxa"/>
              <w:bottom w:w="0" w:type="dxa"/>
            </w:tcMar>
            <w:vAlign w:val="center"/>
          </w:tcPr>
          <w:p w14:paraId="345D5419"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2</w:t>
            </w:r>
          </w:p>
        </w:tc>
        <w:tc>
          <w:tcPr>
            <w:tcW w:w="2652" w:type="pct"/>
            <w:shd w:val="clear" w:color="auto" w:fill="auto"/>
            <w:tcMar>
              <w:top w:w="0" w:type="dxa"/>
              <w:bottom w:w="0" w:type="dxa"/>
            </w:tcMar>
            <w:vAlign w:val="center"/>
          </w:tcPr>
          <w:p w14:paraId="7B701FB1"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Service, consulting, construction, and asset purchase and sale contracts (including deposit contracts/agreements serving these transactions).</w:t>
            </w:r>
          </w:p>
        </w:tc>
        <w:tc>
          <w:tcPr>
            <w:tcW w:w="1923" w:type="pct"/>
            <w:shd w:val="clear" w:color="auto" w:fill="auto"/>
            <w:tcMar>
              <w:top w:w="0" w:type="dxa"/>
              <w:bottom w:w="0" w:type="dxa"/>
            </w:tcMar>
            <w:vAlign w:val="center"/>
          </w:tcPr>
          <w:p w14:paraId="177CB6A0" w14:textId="466168D0"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Not exceeding 10% of the total value of the Company's assets/</w:t>
            </w:r>
            <w:r w:rsidR="00510EC9" w:rsidRPr="00D30A70">
              <w:rPr>
                <w:rFonts w:ascii="Arial" w:hAnsi="Arial" w:cs="Arial"/>
                <w:color w:val="010000"/>
                <w:sz w:val="20"/>
              </w:rPr>
              <w:t xml:space="preserve">01 </w:t>
            </w:r>
            <w:r w:rsidRPr="00D30A70">
              <w:rPr>
                <w:rFonts w:ascii="Arial" w:hAnsi="Arial" w:cs="Arial"/>
                <w:color w:val="010000"/>
                <w:sz w:val="20"/>
              </w:rPr>
              <w:t>contract or transaction.</w:t>
            </w:r>
          </w:p>
        </w:tc>
      </w:tr>
      <w:tr w:rsidR="005C4D1C" w:rsidRPr="00D30A70" w14:paraId="38823861" w14:textId="77777777" w:rsidTr="00447CC2">
        <w:tc>
          <w:tcPr>
            <w:tcW w:w="425" w:type="pct"/>
            <w:shd w:val="clear" w:color="auto" w:fill="auto"/>
            <w:tcMar>
              <w:top w:w="0" w:type="dxa"/>
              <w:bottom w:w="0" w:type="dxa"/>
            </w:tcMar>
            <w:vAlign w:val="center"/>
          </w:tcPr>
          <w:p w14:paraId="3684A395"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3</w:t>
            </w:r>
          </w:p>
        </w:tc>
        <w:tc>
          <w:tcPr>
            <w:tcW w:w="2652" w:type="pct"/>
            <w:shd w:val="clear" w:color="auto" w:fill="auto"/>
            <w:tcMar>
              <w:top w:w="0" w:type="dxa"/>
              <w:bottom w:w="0" w:type="dxa"/>
            </w:tcMar>
            <w:vAlign w:val="center"/>
          </w:tcPr>
          <w:p w14:paraId="198469EA"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Other contracts/Transactions serving daily and regular business activities of the Company.</w:t>
            </w:r>
          </w:p>
        </w:tc>
        <w:tc>
          <w:tcPr>
            <w:tcW w:w="1923" w:type="pct"/>
            <w:shd w:val="clear" w:color="auto" w:fill="auto"/>
            <w:tcMar>
              <w:top w:w="0" w:type="dxa"/>
              <w:bottom w:w="0" w:type="dxa"/>
            </w:tcMar>
            <w:vAlign w:val="center"/>
          </w:tcPr>
          <w:p w14:paraId="07E0073C" w14:textId="7141A962"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Not exceeding 5% of the total value of the Company's assets/</w:t>
            </w:r>
            <w:r w:rsidR="00510EC9" w:rsidRPr="00D30A70">
              <w:rPr>
                <w:rFonts w:ascii="Arial" w:hAnsi="Arial" w:cs="Arial"/>
                <w:color w:val="010000"/>
                <w:sz w:val="20"/>
              </w:rPr>
              <w:t xml:space="preserve">01 </w:t>
            </w:r>
            <w:r w:rsidRPr="00D30A70">
              <w:rPr>
                <w:rFonts w:ascii="Arial" w:hAnsi="Arial" w:cs="Arial"/>
                <w:color w:val="010000"/>
                <w:sz w:val="20"/>
              </w:rPr>
              <w:t>contract or transaction.</w:t>
            </w:r>
          </w:p>
        </w:tc>
      </w:tr>
    </w:tbl>
    <w:p w14:paraId="76B9A1D3" w14:textId="7A1EB5B5"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 xml:space="preserve">(*) Total value of consolidated assets calculated according to the most recent Consolidated </w:t>
      </w:r>
      <w:r w:rsidR="00510EC9" w:rsidRPr="00D30A70">
        <w:rPr>
          <w:rFonts w:ascii="Arial" w:hAnsi="Arial" w:cs="Arial"/>
          <w:color w:val="010000"/>
          <w:sz w:val="20"/>
        </w:rPr>
        <w:t>Financial Statements</w:t>
      </w:r>
    </w:p>
    <w:p w14:paraId="4A820B85" w14:textId="005FC0C9"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‎‎Article 2. The Board of Directors assigns the General Manager of the Company to decide based on the actual situation and business needs of the Company:</w:t>
      </w:r>
    </w:p>
    <w:p w14:paraId="7A00CE7F" w14:textId="77777777" w:rsidR="005C4D1C" w:rsidRPr="00D30A70" w:rsidRDefault="00447CC2" w:rsidP="00447CC2">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30A70">
        <w:rPr>
          <w:rFonts w:ascii="Arial" w:hAnsi="Arial" w:cs="Arial"/>
          <w:color w:val="010000"/>
          <w:sz w:val="20"/>
        </w:rPr>
        <w:t>Approve details of each contract and transaction.</w:t>
      </w:r>
    </w:p>
    <w:p w14:paraId="0BFECE88" w14:textId="1081D2D2" w:rsidR="005C4D1C" w:rsidRPr="00D30A70" w:rsidRDefault="00447CC2" w:rsidP="00447CC2">
      <w:pPr>
        <w:numPr>
          <w:ilvl w:val="0"/>
          <w:numId w:val="1"/>
        </w:numPr>
        <w:pBdr>
          <w:top w:val="nil"/>
          <w:left w:val="nil"/>
          <w:bottom w:val="nil"/>
          <w:right w:val="nil"/>
          <w:between w:val="nil"/>
        </w:pBdr>
        <w:tabs>
          <w:tab w:val="left" w:pos="360"/>
          <w:tab w:val="left" w:pos="927"/>
        </w:tabs>
        <w:spacing w:after="120" w:line="360" w:lineRule="auto"/>
        <w:ind w:left="0" w:firstLine="0"/>
        <w:rPr>
          <w:rFonts w:ascii="Arial" w:eastAsia="Arial" w:hAnsi="Arial" w:cs="Arial"/>
          <w:color w:val="010000"/>
          <w:sz w:val="20"/>
          <w:szCs w:val="20"/>
        </w:rPr>
      </w:pPr>
      <w:r w:rsidRPr="00D30A70">
        <w:rPr>
          <w:rFonts w:ascii="Arial" w:hAnsi="Arial" w:cs="Arial"/>
          <w:color w:val="010000"/>
          <w:sz w:val="20"/>
        </w:rPr>
        <w:t>Sign, implement, adjust, amend and supplement the above contract and transaction terms and conditions (including extension of contract implement time, cancellation/termination/liquidation) in accordance with the limit</w:t>
      </w:r>
      <w:r w:rsidR="00510EC9" w:rsidRPr="00D30A70">
        <w:rPr>
          <w:rFonts w:ascii="Arial" w:hAnsi="Arial" w:cs="Arial"/>
          <w:color w:val="010000"/>
          <w:sz w:val="20"/>
        </w:rPr>
        <w:t xml:space="preserve"> frame</w:t>
      </w:r>
      <w:r w:rsidRPr="00D30A70">
        <w:rPr>
          <w:rFonts w:ascii="Arial" w:hAnsi="Arial" w:cs="Arial"/>
          <w:color w:val="010000"/>
          <w:sz w:val="20"/>
        </w:rPr>
        <w:t xml:space="preserve"> approved by the Board of Directors and report on the contents of contracts and transactions signed with the Board of Directors at the </w:t>
      </w:r>
      <w:r w:rsidR="00510EC9" w:rsidRPr="00D30A70">
        <w:rPr>
          <w:rFonts w:ascii="Arial" w:hAnsi="Arial" w:cs="Arial"/>
          <w:color w:val="010000"/>
          <w:sz w:val="20"/>
        </w:rPr>
        <w:t>next</w:t>
      </w:r>
      <w:r w:rsidRPr="00D30A70">
        <w:rPr>
          <w:rFonts w:ascii="Arial" w:hAnsi="Arial" w:cs="Arial"/>
          <w:color w:val="010000"/>
          <w:sz w:val="20"/>
        </w:rPr>
        <w:t xml:space="preserve"> meeting</w:t>
      </w:r>
    </w:p>
    <w:p w14:paraId="4945FC91" w14:textId="77777777" w:rsidR="005C4D1C" w:rsidRPr="00D30A70" w:rsidRDefault="00447CC2" w:rsidP="00447C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30A70">
        <w:rPr>
          <w:rFonts w:ascii="Arial" w:hAnsi="Arial" w:cs="Arial"/>
          <w:color w:val="010000"/>
          <w:sz w:val="20"/>
        </w:rPr>
        <w:t>‎‎Article 3. This Resolution takes effect from the date of its signing. Members of the Board of Directors of the Company, the Board of Management, functional departments of the Company, relevant units and individuals are responsible for implementing this Resolution.</w:t>
      </w:r>
    </w:p>
    <w:sectPr w:rsidR="005C4D1C" w:rsidRPr="00D30A70" w:rsidSect="00447CC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92891"/>
    <w:multiLevelType w:val="multilevel"/>
    <w:tmpl w:val="86DC29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C"/>
    <w:rsid w:val="002412F7"/>
    <w:rsid w:val="003B4E3B"/>
    <w:rsid w:val="00447CC2"/>
    <w:rsid w:val="00510EC9"/>
    <w:rsid w:val="005C4D1C"/>
    <w:rsid w:val="007E3AE1"/>
    <w:rsid w:val="00D3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8A4A"/>
  <w15:docId w15:val="{8AA432A3-C271-441F-A2DC-E1C3E9A8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E2ypQ0A3NIlDnZV03yf/Kuxqeg==">CgMxLjA4AHIhMWpYNE1aanBYVDVhNFNkY3JQMVc2eGMyOG9zbzItUnFV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2024-01-23T07:39:00Z</dcterms:created>
  <dcterms:modified xsi:type="dcterms:W3CDTF">2024-01-23T07:39:00Z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2923f490332e541e9de396bd89fa73fa2b9cb31bcc15206f4976e4bef3fb2ae8</vt:lpwstr>
  </property>
</Properties>
</file>