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C042C" w14:textId="77777777" w:rsidR="009928A3" w:rsidRPr="001714B2" w:rsidRDefault="000356FC" w:rsidP="002424D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08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714B2">
        <w:rPr>
          <w:rFonts w:ascii="Arial" w:hAnsi="Arial" w:cs="Arial"/>
          <w:b/>
          <w:color w:val="010000"/>
          <w:sz w:val="20"/>
        </w:rPr>
        <w:t>HCB: Board Resolution</w:t>
      </w:r>
    </w:p>
    <w:p w14:paraId="45D8FC14" w14:textId="77777777" w:rsidR="009928A3" w:rsidRPr="001714B2" w:rsidRDefault="000356FC" w:rsidP="002424D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0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14B2">
        <w:rPr>
          <w:rFonts w:ascii="Arial" w:hAnsi="Arial" w:cs="Arial"/>
          <w:color w:val="010000"/>
          <w:sz w:val="20"/>
        </w:rPr>
        <w:t xml:space="preserve">On January 17, 2024, March 29 Textile – Garment Joint Stock Company announced Resolution No. 01/NQ-HDQT as follows: </w:t>
      </w:r>
    </w:p>
    <w:p w14:paraId="304B5AEA" w14:textId="55A7633B" w:rsidR="009928A3" w:rsidRPr="001714B2" w:rsidRDefault="000356FC" w:rsidP="002424D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14B2">
        <w:rPr>
          <w:rFonts w:ascii="Arial" w:hAnsi="Arial" w:cs="Arial"/>
          <w:color w:val="010000"/>
          <w:sz w:val="20"/>
        </w:rPr>
        <w:t>Article 1: Approve the Report on the Production and Business Results in 2023 and Production and Business Plan for 2024 with the following main targets:</w:t>
      </w:r>
    </w:p>
    <w:p w14:paraId="55EBA011" w14:textId="77777777" w:rsidR="009928A3" w:rsidRPr="001714B2" w:rsidRDefault="000356FC" w:rsidP="002424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14B2">
        <w:rPr>
          <w:rFonts w:ascii="Arial" w:hAnsi="Arial" w:cs="Arial"/>
          <w:color w:val="010000"/>
          <w:sz w:val="20"/>
        </w:rPr>
        <w:t>Production and business results in 2023: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612"/>
        <w:gridCol w:w="2123"/>
        <w:gridCol w:w="1721"/>
        <w:gridCol w:w="1304"/>
        <w:gridCol w:w="1357"/>
        <w:gridCol w:w="1043"/>
        <w:gridCol w:w="886"/>
      </w:tblGrid>
      <w:tr w:rsidR="009928A3" w:rsidRPr="001714B2" w14:paraId="64CD0DE6" w14:textId="77777777" w:rsidTr="001714B2"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89CF1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9B18E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D4C8F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ED7BA" w14:textId="243C7196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6C2E0" w14:textId="3B05820D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 xml:space="preserve">2023 Result 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EF015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Comparison (%)</w:t>
            </w:r>
          </w:p>
        </w:tc>
      </w:tr>
      <w:tr w:rsidR="009928A3" w:rsidRPr="001714B2" w14:paraId="5948B977" w14:textId="77777777" w:rsidTr="001714B2"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B1A35" w14:textId="77777777" w:rsidR="009928A3" w:rsidRPr="001714B2" w:rsidRDefault="009928A3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91B13" w14:textId="77777777" w:rsidR="009928A3" w:rsidRPr="001714B2" w:rsidRDefault="009928A3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08E1C" w14:textId="77777777" w:rsidR="009928A3" w:rsidRPr="001714B2" w:rsidRDefault="009928A3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8725B" w14:textId="77777777" w:rsidR="009928A3" w:rsidRPr="001714B2" w:rsidRDefault="009928A3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7F103" w14:textId="77777777" w:rsidR="009928A3" w:rsidRPr="001714B2" w:rsidRDefault="009928A3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5E5C5" w14:textId="7FB76E0A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Result/Plan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C7CB4" w14:textId="54E6430B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Same period</w:t>
            </w:r>
          </w:p>
        </w:tc>
      </w:tr>
      <w:tr w:rsidR="009928A3" w:rsidRPr="001714B2" w14:paraId="5AD7866C" w14:textId="77777777" w:rsidTr="001714B2">
        <w:tc>
          <w:tcPr>
            <w:tcW w:w="3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FED49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EE84E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Industrial production value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2C98F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B48E4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1,122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839C8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1,125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D7729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100.23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14100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100.99</w:t>
            </w:r>
          </w:p>
        </w:tc>
      </w:tr>
      <w:tr w:rsidR="009928A3" w:rsidRPr="001714B2" w14:paraId="4C1B4C96" w14:textId="77777777" w:rsidTr="001714B2">
        <w:tc>
          <w:tcPr>
            <w:tcW w:w="3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CCCF5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F7FD0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719DE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8222E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940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411F4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796.72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1B646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84.76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A8634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84.95</w:t>
            </w:r>
          </w:p>
        </w:tc>
      </w:tr>
      <w:tr w:rsidR="009928A3" w:rsidRPr="001714B2" w14:paraId="7348F89B" w14:textId="77777777" w:rsidTr="001714B2">
        <w:tc>
          <w:tcPr>
            <w:tcW w:w="3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5EC36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3A5AA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Export turnover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740A1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Million USD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71A1B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82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171CC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66.26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77FD7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80.81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0480D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81.89</w:t>
            </w:r>
          </w:p>
        </w:tc>
      </w:tr>
      <w:tr w:rsidR="009928A3" w:rsidRPr="001714B2" w14:paraId="16EE8C39" w14:textId="77777777" w:rsidTr="001714B2">
        <w:tc>
          <w:tcPr>
            <w:tcW w:w="3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64300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53808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Total investment value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36D5D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7562F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23B44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7.5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872A5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34.09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32710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48.60</w:t>
            </w:r>
          </w:p>
        </w:tc>
      </w:tr>
      <w:tr w:rsidR="009928A3" w:rsidRPr="001714B2" w14:paraId="3EA991CD" w14:textId="77777777" w:rsidTr="001714B2">
        <w:tc>
          <w:tcPr>
            <w:tcW w:w="3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6207A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8C3E2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F8D97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7C78D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23.5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F4310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23.7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CAAA8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100.85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BD3D0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102.96</w:t>
            </w:r>
          </w:p>
        </w:tc>
      </w:tr>
      <w:tr w:rsidR="009928A3" w:rsidRPr="001714B2" w14:paraId="20336EFA" w14:textId="77777777" w:rsidTr="001714B2">
        <w:tc>
          <w:tcPr>
            <w:tcW w:w="3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B4B01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6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91D90" w14:textId="503A05B3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Average income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FD9A0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Million VND/person/month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CD7CB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8.95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F6C92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8.95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51779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100.00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24F27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100.89</w:t>
            </w:r>
          </w:p>
        </w:tc>
      </w:tr>
      <w:tr w:rsidR="009928A3" w:rsidRPr="001714B2" w14:paraId="2058E39C" w14:textId="77777777" w:rsidTr="001714B2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51E32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7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458E7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Dividend rate/Charter capital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36FC2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33726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78633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3FA64" w14:textId="77777777" w:rsidR="009928A3" w:rsidRPr="001714B2" w:rsidRDefault="009928A3" w:rsidP="001714B2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99A15" w14:textId="77777777" w:rsidR="009928A3" w:rsidRPr="001714B2" w:rsidRDefault="009928A3" w:rsidP="001714B2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D209232" w14:textId="77777777" w:rsidR="009928A3" w:rsidRPr="001714B2" w:rsidRDefault="000356FC" w:rsidP="001714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714B2">
        <w:rPr>
          <w:rFonts w:ascii="Arial" w:hAnsi="Arial" w:cs="Arial"/>
          <w:color w:val="010000"/>
          <w:sz w:val="20"/>
        </w:rPr>
        <w:t>Production and Business Plan in 2024: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9"/>
        <w:gridCol w:w="2320"/>
        <w:gridCol w:w="1721"/>
        <w:gridCol w:w="1589"/>
        <w:gridCol w:w="1598"/>
        <w:gridCol w:w="1099"/>
      </w:tblGrid>
      <w:tr w:rsidR="009928A3" w:rsidRPr="001714B2" w14:paraId="113CB852" w14:textId="77777777" w:rsidTr="001714B2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53652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1BD6F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D1667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14768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D4064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C0D7A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Comparison</w:t>
            </w:r>
          </w:p>
          <w:p w14:paraId="314DD04C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(%)</w:t>
            </w:r>
          </w:p>
        </w:tc>
      </w:tr>
      <w:tr w:rsidR="009928A3" w:rsidRPr="001714B2" w14:paraId="7C8F0885" w14:textId="77777777" w:rsidTr="001714B2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7EAEB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C1E00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Industrial production value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7BDAB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41088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1,125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AE8DB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1,140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3DCEC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101.39</w:t>
            </w:r>
          </w:p>
        </w:tc>
      </w:tr>
      <w:tr w:rsidR="009928A3" w:rsidRPr="001714B2" w14:paraId="0173F623" w14:textId="77777777" w:rsidTr="001714B2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6DEC4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CAFD7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28C25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73466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796.72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1CF13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840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1D137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105.43</w:t>
            </w:r>
          </w:p>
        </w:tc>
      </w:tr>
      <w:tr w:rsidR="009928A3" w:rsidRPr="001714B2" w14:paraId="4F11B34F" w14:textId="77777777" w:rsidTr="001714B2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6574F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04D30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Export turnover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E076C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Million USD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FA409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66.26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4B306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70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4F181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105.64</w:t>
            </w:r>
          </w:p>
        </w:tc>
      </w:tr>
      <w:tr w:rsidR="009928A3" w:rsidRPr="001714B2" w14:paraId="2D164F28" w14:textId="77777777" w:rsidTr="001714B2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8C88B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27D72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Total investment value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36F7A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89F32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7.5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00F04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30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CDBBA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400.00</w:t>
            </w:r>
          </w:p>
        </w:tc>
      </w:tr>
      <w:tr w:rsidR="009928A3" w:rsidRPr="001714B2" w14:paraId="51341041" w14:textId="77777777" w:rsidTr="001714B2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76A40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40659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449CA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FB2D5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23.7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C7729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24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43B50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101.27</w:t>
            </w:r>
          </w:p>
        </w:tc>
      </w:tr>
      <w:tr w:rsidR="009928A3" w:rsidRPr="001714B2" w14:paraId="15BAF74E" w14:textId="77777777" w:rsidTr="001714B2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05D30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6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3D087" w14:textId="5D5AEF7B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 xml:space="preserve">Average income 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3BFEE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Million VND/person/month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6F516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8.95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52EED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9.00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5FD16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100.56</w:t>
            </w:r>
          </w:p>
        </w:tc>
      </w:tr>
      <w:tr w:rsidR="009928A3" w:rsidRPr="001714B2" w14:paraId="58BAA66E" w14:textId="77777777" w:rsidTr="001714B2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E3BA9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7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39171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 xml:space="preserve">Dividend rate/Charter </w:t>
            </w:r>
            <w:r w:rsidRPr="001714B2">
              <w:rPr>
                <w:rFonts w:ascii="Arial" w:hAnsi="Arial" w:cs="Arial"/>
                <w:color w:val="010000"/>
                <w:sz w:val="20"/>
              </w:rPr>
              <w:lastRenderedPageBreak/>
              <w:t>capital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F8E18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lastRenderedPageBreak/>
              <w:t>%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AF3E1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ACB51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20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6AE55" w14:textId="77777777" w:rsidR="009928A3" w:rsidRPr="001714B2" w:rsidRDefault="000356FC" w:rsidP="0017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714B2">
              <w:rPr>
                <w:rFonts w:ascii="Arial" w:hAnsi="Arial" w:cs="Arial"/>
                <w:bCs/>
                <w:color w:val="010000"/>
                <w:sz w:val="20"/>
              </w:rPr>
              <w:t>100.00</w:t>
            </w:r>
          </w:p>
        </w:tc>
      </w:tr>
    </w:tbl>
    <w:p w14:paraId="0B8FA29B" w14:textId="72B451EF" w:rsidR="009928A3" w:rsidRPr="001714B2" w:rsidRDefault="000356FC" w:rsidP="002424D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14B2">
        <w:rPr>
          <w:rFonts w:ascii="Arial" w:hAnsi="Arial" w:cs="Arial"/>
          <w:color w:val="010000"/>
          <w:sz w:val="20"/>
        </w:rPr>
        <w:lastRenderedPageBreak/>
        <w:t>Article 2: Agree on the 2023 dividend payment rate for shareholders to be 20% in cash and the prepayment rate of 20% of dividends for shareholders in Q1/2024.</w:t>
      </w:r>
    </w:p>
    <w:p w14:paraId="205DC337" w14:textId="43BC915E" w:rsidR="009928A3" w:rsidRPr="001714B2" w:rsidRDefault="000356FC" w:rsidP="002424D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14B2">
        <w:rPr>
          <w:rFonts w:ascii="Arial" w:hAnsi="Arial" w:cs="Arial"/>
          <w:color w:val="010000"/>
          <w:sz w:val="20"/>
        </w:rPr>
        <w:t>Article 3: Organization time of the Annual General Meeting of Shareholders 2024: March 29, 2024</w:t>
      </w:r>
    </w:p>
    <w:p w14:paraId="4816E395" w14:textId="77777777" w:rsidR="009928A3" w:rsidRPr="001714B2" w:rsidRDefault="000356FC" w:rsidP="002424D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14B2">
        <w:rPr>
          <w:rFonts w:ascii="Arial" w:hAnsi="Arial" w:cs="Arial"/>
          <w:color w:val="010000"/>
          <w:sz w:val="20"/>
        </w:rPr>
        <w:t>Article 4: Members of the Board of Directors and the General Manager are responsible for implementing this Resolution fr</w:t>
      </w:r>
      <w:bookmarkStart w:id="0" w:name="_GoBack"/>
      <w:bookmarkEnd w:id="0"/>
      <w:r w:rsidRPr="001714B2">
        <w:rPr>
          <w:rFonts w:ascii="Arial" w:hAnsi="Arial" w:cs="Arial"/>
          <w:color w:val="010000"/>
          <w:sz w:val="20"/>
        </w:rPr>
        <w:t>om the date of its signing.</w:t>
      </w:r>
    </w:p>
    <w:sectPr w:rsidR="009928A3" w:rsidRPr="001714B2" w:rsidSect="001714B2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1CA4"/>
    <w:multiLevelType w:val="multilevel"/>
    <w:tmpl w:val="0EE6FDC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A3"/>
    <w:rsid w:val="000356FC"/>
    <w:rsid w:val="001714B2"/>
    <w:rsid w:val="002424D9"/>
    <w:rsid w:val="009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30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HvY8lkQVMe5fXlDVwTfW9WCnEg==">CgMxLjA4AHIhMS05WjAyeHN6UnJZLTVWdk9KM1pJZDBHTW1mVm4yRW4t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Huy</dc:creator>
  <cp:lastModifiedBy>Tran Ha Anh</cp:lastModifiedBy>
  <cp:revision>4</cp:revision>
  <dcterms:created xsi:type="dcterms:W3CDTF">2024-01-19T10:01:00Z</dcterms:created>
  <dcterms:modified xsi:type="dcterms:W3CDTF">2024-01-22T07:36:00Z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07d2c9eca928ed4c9e669937135104821d1489c4e6d8585a3764c0e9e4788736</vt:lpwstr>
  </property>
</Properties>
</file>