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E139E" w14:textId="3FDB47A9" w:rsidR="00891664" w:rsidRPr="005D3A4A" w:rsidRDefault="00E84E1B" w:rsidP="00E84E1B">
      <w:pPr>
        <w:pBdr>
          <w:top w:val="nil"/>
          <w:left w:val="nil"/>
          <w:bottom w:val="nil"/>
          <w:right w:val="nil"/>
          <w:between w:val="nil"/>
        </w:pBdr>
        <w:tabs>
          <w:tab w:val="left" w:pos="567"/>
        </w:tabs>
        <w:spacing w:after="120" w:line="360" w:lineRule="auto"/>
        <w:rPr>
          <w:rFonts w:ascii="Arial" w:eastAsia="Arial" w:hAnsi="Arial" w:cs="Arial"/>
          <w:b/>
          <w:color w:val="010000"/>
          <w:sz w:val="20"/>
          <w:szCs w:val="20"/>
        </w:rPr>
      </w:pPr>
      <w:bookmarkStart w:id="0" w:name="_GoBack"/>
      <w:bookmarkEnd w:id="0"/>
      <w:proofErr w:type="spellStart"/>
      <w:r w:rsidRPr="005D3A4A">
        <w:rPr>
          <w:rFonts w:ascii="Arial" w:hAnsi="Arial" w:cs="Arial"/>
          <w:b/>
          <w:color w:val="010000"/>
          <w:sz w:val="20"/>
        </w:rPr>
        <w:t>SNZ</w:t>
      </w:r>
      <w:proofErr w:type="spellEnd"/>
      <w:r w:rsidRPr="005D3A4A">
        <w:rPr>
          <w:rFonts w:ascii="Arial" w:hAnsi="Arial" w:cs="Arial"/>
          <w:b/>
          <w:color w:val="010000"/>
          <w:sz w:val="20"/>
        </w:rPr>
        <w:t>: Extraordinary General Mandate</w:t>
      </w:r>
    </w:p>
    <w:p w14:paraId="76A34819" w14:textId="1C045F7C" w:rsidR="00891664" w:rsidRPr="005D3A4A" w:rsidRDefault="00E84E1B" w:rsidP="00E84E1B">
      <w:p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5D3A4A">
        <w:rPr>
          <w:rFonts w:ascii="Arial" w:hAnsi="Arial" w:cs="Arial"/>
          <w:color w:val="010000"/>
          <w:sz w:val="20"/>
        </w:rPr>
        <w:t xml:space="preserve">On January 16, 2024, </w:t>
      </w:r>
      <w:proofErr w:type="spellStart"/>
      <w:r w:rsidRPr="005D3A4A">
        <w:rPr>
          <w:rFonts w:ascii="Arial" w:hAnsi="Arial" w:cs="Arial"/>
          <w:color w:val="010000"/>
          <w:sz w:val="20"/>
        </w:rPr>
        <w:t>Sonadezi</w:t>
      </w:r>
      <w:proofErr w:type="spellEnd"/>
      <w:r w:rsidRPr="005D3A4A">
        <w:rPr>
          <w:rFonts w:ascii="Arial" w:hAnsi="Arial" w:cs="Arial"/>
          <w:color w:val="010000"/>
          <w:sz w:val="20"/>
        </w:rPr>
        <w:t xml:space="preserve"> Corporation announced General Mandate No. 08/NQ-</w:t>
      </w:r>
      <w:proofErr w:type="spellStart"/>
      <w:r w:rsidRPr="005D3A4A">
        <w:rPr>
          <w:rFonts w:ascii="Arial" w:hAnsi="Arial" w:cs="Arial"/>
          <w:color w:val="010000"/>
          <w:sz w:val="20"/>
        </w:rPr>
        <w:t>SNZ</w:t>
      </w:r>
      <w:proofErr w:type="spellEnd"/>
      <w:r w:rsidRPr="005D3A4A">
        <w:rPr>
          <w:rFonts w:ascii="Arial" w:hAnsi="Arial" w:cs="Arial"/>
          <w:color w:val="010000"/>
          <w:sz w:val="20"/>
        </w:rPr>
        <w:t>-</w:t>
      </w:r>
      <w:proofErr w:type="spellStart"/>
      <w:r w:rsidRPr="005D3A4A">
        <w:rPr>
          <w:rFonts w:ascii="Arial" w:hAnsi="Arial" w:cs="Arial"/>
          <w:color w:val="010000"/>
          <w:sz w:val="20"/>
        </w:rPr>
        <w:t>QTTH</w:t>
      </w:r>
      <w:proofErr w:type="spellEnd"/>
      <w:r w:rsidRPr="005D3A4A">
        <w:rPr>
          <w:rFonts w:ascii="Arial" w:hAnsi="Arial" w:cs="Arial"/>
          <w:color w:val="010000"/>
          <w:sz w:val="20"/>
        </w:rPr>
        <w:t xml:space="preserve"> on approving the Corporation's restructuring project for the 2021-2025 period as follows:</w:t>
      </w:r>
    </w:p>
    <w:p w14:paraId="7111CDA8" w14:textId="77777777" w:rsidR="00891664" w:rsidRPr="005D3A4A" w:rsidRDefault="00E84E1B" w:rsidP="00E84E1B">
      <w:p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5D3A4A">
        <w:rPr>
          <w:rFonts w:ascii="Arial" w:hAnsi="Arial" w:cs="Arial"/>
          <w:color w:val="010000"/>
          <w:sz w:val="20"/>
        </w:rPr>
        <w:t xml:space="preserve">Article 1: Approve the Project to restructure </w:t>
      </w:r>
      <w:proofErr w:type="spellStart"/>
      <w:r w:rsidRPr="005D3A4A">
        <w:rPr>
          <w:rFonts w:ascii="Arial" w:hAnsi="Arial" w:cs="Arial"/>
          <w:color w:val="010000"/>
          <w:sz w:val="20"/>
        </w:rPr>
        <w:t>Sonadezi</w:t>
      </w:r>
      <w:proofErr w:type="spellEnd"/>
      <w:r w:rsidRPr="005D3A4A">
        <w:rPr>
          <w:rFonts w:ascii="Arial" w:hAnsi="Arial" w:cs="Arial"/>
          <w:color w:val="010000"/>
          <w:sz w:val="20"/>
        </w:rPr>
        <w:t xml:space="preserve"> Corporation for the 2021-2025 period according to Report No. 729/</w:t>
      </w:r>
      <w:proofErr w:type="spellStart"/>
      <w:r w:rsidRPr="005D3A4A">
        <w:rPr>
          <w:rFonts w:ascii="Arial" w:hAnsi="Arial" w:cs="Arial"/>
          <w:color w:val="010000"/>
          <w:sz w:val="20"/>
        </w:rPr>
        <w:t>TTr-SNZ-QTTH</w:t>
      </w:r>
      <w:proofErr w:type="spellEnd"/>
      <w:r w:rsidRPr="005D3A4A">
        <w:rPr>
          <w:rFonts w:ascii="Arial" w:hAnsi="Arial" w:cs="Arial"/>
          <w:color w:val="010000"/>
          <w:sz w:val="20"/>
        </w:rPr>
        <w:t xml:space="preserve"> dated December 29, 2023 on the divestment plan of </w:t>
      </w:r>
      <w:proofErr w:type="spellStart"/>
      <w:r w:rsidRPr="005D3A4A">
        <w:rPr>
          <w:rFonts w:ascii="Arial" w:hAnsi="Arial" w:cs="Arial"/>
          <w:color w:val="010000"/>
          <w:sz w:val="20"/>
        </w:rPr>
        <w:t>Sonadezi</w:t>
      </w:r>
      <w:proofErr w:type="spellEnd"/>
      <w:r w:rsidRPr="005D3A4A">
        <w:rPr>
          <w:rFonts w:ascii="Arial" w:hAnsi="Arial" w:cs="Arial"/>
          <w:color w:val="010000"/>
          <w:sz w:val="20"/>
        </w:rPr>
        <w:t xml:space="preserve"> Corporation in other enterprises as follows:</w:t>
      </w:r>
    </w:p>
    <w:p w14:paraId="530B997F" w14:textId="67B9F5FA" w:rsidR="00891664" w:rsidRPr="005D3A4A" w:rsidRDefault="00927B45" w:rsidP="00927B45">
      <w:pPr>
        <w:numPr>
          <w:ilvl w:val="0"/>
          <w:numId w:val="3"/>
        </w:numPr>
        <w:pBdr>
          <w:top w:val="nil"/>
          <w:left w:val="nil"/>
          <w:bottom w:val="nil"/>
          <w:right w:val="nil"/>
          <w:between w:val="nil"/>
        </w:pBdr>
        <w:tabs>
          <w:tab w:val="left" w:pos="567"/>
          <w:tab w:val="left" w:pos="1086"/>
        </w:tabs>
        <w:spacing w:after="120" w:line="360" w:lineRule="auto"/>
        <w:rPr>
          <w:rFonts w:ascii="Arial" w:eastAsia="Arial" w:hAnsi="Arial" w:cs="Arial"/>
          <w:color w:val="010000"/>
          <w:sz w:val="20"/>
          <w:szCs w:val="20"/>
        </w:rPr>
      </w:pPr>
      <w:r w:rsidRPr="005D3A4A">
        <w:rPr>
          <w:rFonts w:ascii="Arial" w:hAnsi="Arial" w:cs="Arial"/>
          <w:color w:val="010000"/>
          <w:sz w:val="20"/>
        </w:rPr>
        <w:t xml:space="preserve">For </w:t>
      </w:r>
      <w:r w:rsidR="00E84E1B" w:rsidRPr="005D3A4A">
        <w:rPr>
          <w:rFonts w:ascii="Arial" w:hAnsi="Arial" w:cs="Arial"/>
          <w:color w:val="010000"/>
          <w:sz w:val="20"/>
        </w:rPr>
        <w:t xml:space="preserve">06 industrial park infrastructure companies including Industrial Urban Development </w:t>
      </w:r>
      <w:proofErr w:type="spellStart"/>
      <w:r w:rsidR="00E84E1B" w:rsidRPr="005D3A4A">
        <w:rPr>
          <w:rFonts w:ascii="Arial" w:hAnsi="Arial" w:cs="Arial"/>
          <w:color w:val="010000"/>
          <w:sz w:val="20"/>
        </w:rPr>
        <w:t>JSC</w:t>
      </w:r>
      <w:proofErr w:type="spellEnd"/>
      <w:r w:rsidR="00E84E1B" w:rsidRPr="005D3A4A">
        <w:rPr>
          <w:rFonts w:ascii="Arial" w:hAnsi="Arial" w:cs="Arial"/>
          <w:color w:val="010000"/>
          <w:sz w:val="20"/>
        </w:rPr>
        <w:t xml:space="preserve"> No. 2 (57.86%); </w:t>
      </w:r>
      <w:proofErr w:type="spellStart"/>
      <w:r w:rsidR="00E84E1B" w:rsidRPr="005D3A4A">
        <w:rPr>
          <w:rFonts w:ascii="Arial" w:hAnsi="Arial" w:cs="Arial"/>
          <w:color w:val="010000"/>
          <w:sz w:val="20"/>
        </w:rPr>
        <w:t>Sonadezi</w:t>
      </w:r>
      <w:proofErr w:type="spellEnd"/>
      <w:r w:rsidR="00E84E1B" w:rsidRPr="005D3A4A">
        <w:rPr>
          <w:rFonts w:ascii="Arial" w:hAnsi="Arial" w:cs="Arial"/>
          <w:color w:val="010000"/>
          <w:sz w:val="20"/>
        </w:rPr>
        <w:t xml:space="preserve"> Long Thanh Shareholding Company (52.75%); </w:t>
      </w:r>
      <w:proofErr w:type="spellStart"/>
      <w:r w:rsidR="00E84E1B" w:rsidRPr="005D3A4A">
        <w:rPr>
          <w:rFonts w:ascii="Arial" w:hAnsi="Arial" w:cs="Arial"/>
          <w:color w:val="010000"/>
          <w:sz w:val="20"/>
        </w:rPr>
        <w:t>SONADEZI</w:t>
      </w:r>
      <w:proofErr w:type="spellEnd"/>
      <w:r w:rsidR="00E84E1B" w:rsidRPr="005D3A4A">
        <w:rPr>
          <w:rFonts w:ascii="Arial" w:hAnsi="Arial" w:cs="Arial"/>
          <w:color w:val="010000"/>
          <w:sz w:val="20"/>
        </w:rPr>
        <w:t xml:space="preserve"> </w:t>
      </w:r>
      <w:proofErr w:type="spellStart"/>
      <w:r w:rsidR="00E84E1B" w:rsidRPr="005D3A4A">
        <w:rPr>
          <w:rFonts w:ascii="Arial" w:hAnsi="Arial" w:cs="Arial"/>
          <w:color w:val="010000"/>
          <w:sz w:val="20"/>
        </w:rPr>
        <w:t>Chau</w:t>
      </w:r>
      <w:proofErr w:type="spellEnd"/>
      <w:r w:rsidR="00E84E1B" w:rsidRPr="005D3A4A">
        <w:rPr>
          <w:rFonts w:ascii="Arial" w:hAnsi="Arial" w:cs="Arial"/>
          <w:color w:val="010000"/>
          <w:sz w:val="20"/>
        </w:rPr>
        <w:t xml:space="preserve"> Duc Shareholding Company (46.84%); </w:t>
      </w:r>
      <w:proofErr w:type="spellStart"/>
      <w:r w:rsidR="00E84E1B" w:rsidRPr="005D3A4A">
        <w:rPr>
          <w:rFonts w:ascii="Arial" w:hAnsi="Arial" w:cs="Arial"/>
          <w:color w:val="010000"/>
          <w:sz w:val="20"/>
        </w:rPr>
        <w:t>Sonadezi</w:t>
      </w:r>
      <w:proofErr w:type="spellEnd"/>
      <w:r w:rsidR="00E84E1B" w:rsidRPr="005D3A4A">
        <w:rPr>
          <w:rFonts w:ascii="Arial" w:hAnsi="Arial" w:cs="Arial"/>
          <w:color w:val="010000"/>
          <w:sz w:val="20"/>
        </w:rPr>
        <w:t xml:space="preserve"> Giang </w:t>
      </w:r>
      <w:proofErr w:type="spellStart"/>
      <w:r w:rsidR="00E84E1B" w:rsidRPr="005D3A4A">
        <w:rPr>
          <w:rFonts w:ascii="Arial" w:hAnsi="Arial" w:cs="Arial"/>
          <w:color w:val="010000"/>
          <w:sz w:val="20"/>
        </w:rPr>
        <w:t>Dien</w:t>
      </w:r>
      <w:proofErr w:type="spellEnd"/>
      <w:r w:rsidR="00E84E1B" w:rsidRPr="005D3A4A">
        <w:rPr>
          <w:rFonts w:ascii="Arial" w:hAnsi="Arial" w:cs="Arial"/>
          <w:color w:val="010000"/>
          <w:sz w:val="20"/>
        </w:rPr>
        <w:t xml:space="preserve"> Joint Stock Company (46.45%); </w:t>
      </w:r>
      <w:proofErr w:type="spellStart"/>
      <w:r w:rsidRPr="005D3A4A">
        <w:rPr>
          <w:rFonts w:ascii="Arial" w:hAnsi="Arial" w:cs="Arial"/>
          <w:color w:val="010000"/>
          <w:sz w:val="20"/>
        </w:rPr>
        <w:t>Sonadezi</w:t>
      </w:r>
      <w:proofErr w:type="spellEnd"/>
      <w:r w:rsidRPr="005D3A4A">
        <w:rPr>
          <w:rFonts w:ascii="Arial" w:hAnsi="Arial" w:cs="Arial"/>
          <w:color w:val="010000"/>
          <w:sz w:val="20"/>
        </w:rPr>
        <w:t xml:space="preserve"> Long </w:t>
      </w:r>
      <w:proofErr w:type="spellStart"/>
      <w:r w:rsidRPr="005D3A4A">
        <w:rPr>
          <w:rFonts w:ascii="Arial" w:hAnsi="Arial" w:cs="Arial"/>
          <w:color w:val="010000"/>
          <w:sz w:val="20"/>
        </w:rPr>
        <w:t>Binh</w:t>
      </w:r>
      <w:proofErr w:type="spellEnd"/>
      <w:r w:rsidRPr="005D3A4A">
        <w:rPr>
          <w:rFonts w:ascii="Arial" w:hAnsi="Arial" w:cs="Arial"/>
          <w:color w:val="010000"/>
          <w:sz w:val="20"/>
        </w:rPr>
        <w:t xml:space="preserve"> Shareholding Company</w:t>
      </w:r>
      <w:r w:rsidR="00E84E1B" w:rsidRPr="005D3A4A">
        <w:rPr>
          <w:rFonts w:ascii="Arial" w:hAnsi="Arial" w:cs="Arial"/>
          <w:color w:val="010000"/>
          <w:sz w:val="20"/>
        </w:rPr>
        <w:t xml:space="preserve"> (46.22%); </w:t>
      </w:r>
      <w:proofErr w:type="spellStart"/>
      <w:r w:rsidR="00E84E1B" w:rsidRPr="005D3A4A">
        <w:rPr>
          <w:rFonts w:ascii="Arial" w:hAnsi="Arial" w:cs="Arial"/>
          <w:color w:val="010000"/>
          <w:sz w:val="20"/>
        </w:rPr>
        <w:t>Sonadezi</w:t>
      </w:r>
      <w:proofErr w:type="spellEnd"/>
      <w:r w:rsidR="00E84E1B" w:rsidRPr="005D3A4A">
        <w:rPr>
          <w:rFonts w:ascii="Arial" w:hAnsi="Arial" w:cs="Arial"/>
          <w:color w:val="010000"/>
          <w:sz w:val="20"/>
        </w:rPr>
        <w:t xml:space="preserve"> </w:t>
      </w:r>
      <w:proofErr w:type="spellStart"/>
      <w:r w:rsidR="00E84E1B" w:rsidRPr="005D3A4A">
        <w:rPr>
          <w:rFonts w:ascii="Arial" w:hAnsi="Arial" w:cs="Arial"/>
          <w:color w:val="010000"/>
          <w:sz w:val="20"/>
        </w:rPr>
        <w:t>Binh</w:t>
      </w:r>
      <w:proofErr w:type="spellEnd"/>
      <w:r w:rsidR="00E84E1B" w:rsidRPr="005D3A4A">
        <w:rPr>
          <w:rFonts w:ascii="Arial" w:hAnsi="Arial" w:cs="Arial"/>
          <w:color w:val="010000"/>
          <w:sz w:val="20"/>
        </w:rPr>
        <w:t xml:space="preserve"> </w:t>
      </w:r>
      <w:proofErr w:type="spellStart"/>
      <w:r w:rsidR="00E84E1B" w:rsidRPr="005D3A4A">
        <w:rPr>
          <w:rFonts w:ascii="Arial" w:hAnsi="Arial" w:cs="Arial"/>
          <w:color w:val="010000"/>
          <w:sz w:val="20"/>
        </w:rPr>
        <w:t>Thuan</w:t>
      </w:r>
      <w:proofErr w:type="spellEnd"/>
      <w:r w:rsidR="00E84E1B" w:rsidRPr="005D3A4A">
        <w:rPr>
          <w:rFonts w:ascii="Arial" w:hAnsi="Arial" w:cs="Arial"/>
          <w:color w:val="010000"/>
          <w:sz w:val="20"/>
        </w:rPr>
        <w:t xml:space="preserve"> Shareholding Company (42%):</w:t>
      </w:r>
    </w:p>
    <w:p w14:paraId="7F0C7387" w14:textId="77777777" w:rsidR="00891664" w:rsidRPr="005D3A4A" w:rsidRDefault="00E84E1B" w:rsidP="00E84E1B">
      <w:pPr>
        <w:numPr>
          <w:ilvl w:val="0"/>
          <w:numId w:val="4"/>
        </w:numPr>
        <w:pBdr>
          <w:top w:val="nil"/>
          <w:left w:val="nil"/>
          <w:bottom w:val="nil"/>
          <w:right w:val="nil"/>
          <w:between w:val="nil"/>
        </w:pBdr>
        <w:tabs>
          <w:tab w:val="left" w:pos="567"/>
          <w:tab w:val="left" w:pos="978"/>
        </w:tabs>
        <w:spacing w:after="120" w:line="360" w:lineRule="auto"/>
        <w:rPr>
          <w:rFonts w:ascii="Arial" w:eastAsia="Arial" w:hAnsi="Arial" w:cs="Arial"/>
          <w:color w:val="010000"/>
          <w:sz w:val="20"/>
          <w:szCs w:val="20"/>
        </w:rPr>
      </w:pPr>
      <w:r w:rsidRPr="005D3A4A">
        <w:rPr>
          <w:rFonts w:ascii="Arial" w:hAnsi="Arial" w:cs="Arial"/>
          <w:color w:val="010000"/>
          <w:sz w:val="20"/>
        </w:rPr>
        <w:t>Divest down to 46% for companies that own industrial parks with an occupancy rate of less than 70%.</w:t>
      </w:r>
    </w:p>
    <w:p w14:paraId="1BB8EC72" w14:textId="77777777" w:rsidR="00891664" w:rsidRPr="005D3A4A" w:rsidRDefault="00E84E1B" w:rsidP="00E84E1B">
      <w:pPr>
        <w:numPr>
          <w:ilvl w:val="0"/>
          <w:numId w:val="4"/>
        </w:numPr>
        <w:pBdr>
          <w:top w:val="nil"/>
          <w:left w:val="nil"/>
          <w:bottom w:val="nil"/>
          <w:right w:val="nil"/>
          <w:between w:val="nil"/>
        </w:pBdr>
        <w:tabs>
          <w:tab w:val="left" w:pos="567"/>
          <w:tab w:val="left" w:pos="985"/>
        </w:tabs>
        <w:spacing w:after="120" w:line="360" w:lineRule="auto"/>
        <w:rPr>
          <w:rFonts w:ascii="Arial" w:eastAsia="Arial" w:hAnsi="Arial" w:cs="Arial"/>
          <w:color w:val="010000"/>
          <w:sz w:val="20"/>
          <w:szCs w:val="20"/>
        </w:rPr>
      </w:pPr>
      <w:r w:rsidRPr="005D3A4A">
        <w:rPr>
          <w:rFonts w:ascii="Arial" w:hAnsi="Arial" w:cs="Arial"/>
          <w:color w:val="010000"/>
          <w:sz w:val="20"/>
        </w:rPr>
        <w:t>Divest down to 36% for companies that own industrial parks with an occupancy rate of 70% or more.</w:t>
      </w:r>
    </w:p>
    <w:p w14:paraId="20538232" w14:textId="661AB825" w:rsidR="00891664" w:rsidRPr="005D3A4A" w:rsidRDefault="00D742AC" w:rsidP="00E84E1B">
      <w:pPr>
        <w:numPr>
          <w:ilvl w:val="0"/>
          <w:numId w:val="3"/>
        </w:numPr>
        <w:pBdr>
          <w:top w:val="nil"/>
          <w:left w:val="nil"/>
          <w:bottom w:val="nil"/>
          <w:right w:val="nil"/>
          <w:between w:val="nil"/>
        </w:pBdr>
        <w:tabs>
          <w:tab w:val="left" w:pos="567"/>
          <w:tab w:val="left" w:pos="1068"/>
        </w:tabs>
        <w:spacing w:after="120" w:line="360" w:lineRule="auto"/>
        <w:rPr>
          <w:rFonts w:ascii="Arial" w:eastAsia="Arial" w:hAnsi="Arial" w:cs="Arial"/>
          <w:color w:val="010000"/>
          <w:sz w:val="20"/>
          <w:szCs w:val="20"/>
        </w:rPr>
      </w:pPr>
      <w:r w:rsidRPr="005D3A4A">
        <w:rPr>
          <w:rFonts w:ascii="Arial" w:hAnsi="Arial" w:cs="Arial"/>
          <w:color w:val="010000"/>
          <w:sz w:val="20"/>
        </w:rPr>
        <w:t>Dives</w:t>
      </w:r>
      <w:r w:rsidR="00E84E1B" w:rsidRPr="005D3A4A">
        <w:rPr>
          <w:rFonts w:ascii="Arial" w:hAnsi="Arial" w:cs="Arial"/>
          <w:color w:val="010000"/>
          <w:sz w:val="20"/>
        </w:rPr>
        <w:t xml:space="preserve">t from 52.29% to 36% at Dong </w:t>
      </w:r>
      <w:proofErr w:type="spellStart"/>
      <w:r w:rsidR="00E84E1B" w:rsidRPr="005D3A4A">
        <w:rPr>
          <w:rFonts w:ascii="Arial" w:hAnsi="Arial" w:cs="Arial"/>
          <w:color w:val="010000"/>
          <w:sz w:val="20"/>
        </w:rPr>
        <w:t>Nai</w:t>
      </w:r>
      <w:proofErr w:type="spellEnd"/>
      <w:r w:rsidR="00E84E1B" w:rsidRPr="005D3A4A">
        <w:rPr>
          <w:rFonts w:ascii="Arial" w:hAnsi="Arial" w:cs="Arial"/>
          <w:color w:val="010000"/>
          <w:sz w:val="20"/>
        </w:rPr>
        <w:t xml:space="preserve"> Material &amp; Building Investment Joint Stock Company.</w:t>
      </w:r>
    </w:p>
    <w:p w14:paraId="3EB67528" w14:textId="12776EBE" w:rsidR="00891664" w:rsidRPr="005D3A4A" w:rsidRDefault="00E84E1B" w:rsidP="00E84E1B">
      <w:pPr>
        <w:numPr>
          <w:ilvl w:val="0"/>
          <w:numId w:val="3"/>
        </w:numPr>
        <w:pBdr>
          <w:top w:val="nil"/>
          <w:left w:val="nil"/>
          <w:bottom w:val="nil"/>
          <w:right w:val="nil"/>
          <w:between w:val="nil"/>
        </w:pBdr>
        <w:tabs>
          <w:tab w:val="left" w:pos="567"/>
          <w:tab w:val="left" w:pos="1078"/>
        </w:tabs>
        <w:spacing w:after="120" w:line="360" w:lineRule="auto"/>
        <w:rPr>
          <w:rFonts w:ascii="Arial" w:eastAsia="Arial" w:hAnsi="Arial" w:cs="Arial"/>
          <w:color w:val="010000"/>
          <w:sz w:val="20"/>
          <w:szCs w:val="20"/>
        </w:rPr>
      </w:pPr>
      <w:r w:rsidRPr="005D3A4A">
        <w:rPr>
          <w:rFonts w:ascii="Arial" w:hAnsi="Arial" w:cs="Arial"/>
          <w:color w:val="010000"/>
          <w:sz w:val="20"/>
        </w:rPr>
        <w:t xml:space="preserve">Divest all capital in 05 companies: Dong </w:t>
      </w:r>
      <w:proofErr w:type="spellStart"/>
      <w:r w:rsidRPr="005D3A4A">
        <w:rPr>
          <w:rFonts w:ascii="Arial" w:hAnsi="Arial" w:cs="Arial"/>
          <w:color w:val="010000"/>
          <w:sz w:val="20"/>
        </w:rPr>
        <w:t>Nai</w:t>
      </w:r>
      <w:proofErr w:type="spellEnd"/>
      <w:r w:rsidRPr="005D3A4A">
        <w:rPr>
          <w:rFonts w:ascii="Arial" w:hAnsi="Arial" w:cs="Arial"/>
          <w:color w:val="010000"/>
          <w:sz w:val="20"/>
        </w:rPr>
        <w:t xml:space="preserve"> Construction Joint-Stock Company (40%), </w:t>
      </w:r>
      <w:proofErr w:type="spellStart"/>
      <w:r w:rsidRPr="005D3A4A">
        <w:rPr>
          <w:rFonts w:ascii="Arial" w:hAnsi="Arial" w:cs="Arial"/>
          <w:color w:val="010000"/>
          <w:sz w:val="20"/>
        </w:rPr>
        <w:t>DongNai</w:t>
      </w:r>
      <w:proofErr w:type="spellEnd"/>
      <w:r w:rsidRPr="005D3A4A">
        <w:rPr>
          <w:rFonts w:ascii="Arial" w:hAnsi="Arial" w:cs="Arial"/>
          <w:color w:val="010000"/>
          <w:sz w:val="20"/>
        </w:rPr>
        <w:t xml:space="preserve"> Paint Corporation (30%), Industry Civil </w:t>
      </w:r>
      <w:r w:rsidR="00D742AC" w:rsidRPr="005D3A4A">
        <w:rPr>
          <w:rFonts w:ascii="Arial" w:hAnsi="Arial" w:cs="Arial"/>
          <w:color w:val="010000"/>
          <w:sz w:val="20"/>
        </w:rPr>
        <w:t>Construction</w:t>
      </w:r>
      <w:r w:rsidRPr="005D3A4A">
        <w:rPr>
          <w:rFonts w:ascii="Arial" w:hAnsi="Arial" w:cs="Arial"/>
          <w:color w:val="010000"/>
          <w:sz w:val="20"/>
        </w:rPr>
        <w:t xml:space="preserve"> No 1 </w:t>
      </w:r>
      <w:proofErr w:type="spellStart"/>
      <w:r w:rsidRPr="005D3A4A">
        <w:rPr>
          <w:rFonts w:ascii="Arial" w:hAnsi="Arial" w:cs="Arial"/>
          <w:color w:val="010000"/>
          <w:sz w:val="20"/>
        </w:rPr>
        <w:t>DongNai</w:t>
      </w:r>
      <w:proofErr w:type="spellEnd"/>
      <w:r w:rsidRPr="005D3A4A">
        <w:rPr>
          <w:rFonts w:ascii="Arial" w:hAnsi="Arial" w:cs="Arial"/>
          <w:color w:val="010000"/>
          <w:sz w:val="20"/>
        </w:rPr>
        <w:t xml:space="preserve"> </w:t>
      </w:r>
      <w:proofErr w:type="spellStart"/>
      <w:r w:rsidRPr="005D3A4A">
        <w:rPr>
          <w:rFonts w:ascii="Arial" w:hAnsi="Arial" w:cs="Arial"/>
          <w:color w:val="010000"/>
          <w:sz w:val="20"/>
        </w:rPr>
        <w:t>JSC</w:t>
      </w:r>
      <w:proofErr w:type="spellEnd"/>
      <w:r w:rsidRPr="005D3A4A">
        <w:rPr>
          <w:rFonts w:ascii="Arial" w:hAnsi="Arial" w:cs="Arial"/>
          <w:color w:val="010000"/>
          <w:sz w:val="20"/>
        </w:rPr>
        <w:t xml:space="preserve"> (15%), </w:t>
      </w:r>
      <w:proofErr w:type="spellStart"/>
      <w:proofErr w:type="gramStart"/>
      <w:r w:rsidRPr="005D3A4A">
        <w:rPr>
          <w:rFonts w:ascii="Arial" w:hAnsi="Arial" w:cs="Arial"/>
          <w:color w:val="010000"/>
          <w:sz w:val="20"/>
        </w:rPr>
        <w:t>Amata</w:t>
      </w:r>
      <w:proofErr w:type="spellEnd"/>
      <w:proofErr w:type="gramEnd"/>
      <w:r w:rsidRPr="005D3A4A">
        <w:rPr>
          <w:rFonts w:ascii="Arial" w:hAnsi="Arial" w:cs="Arial"/>
          <w:color w:val="010000"/>
          <w:sz w:val="20"/>
        </w:rPr>
        <w:t xml:space="preserve"> City </w:t>
      </w:r>
      <w:proofErr w:type="spellStart"/>
      <w:r w:rsidRPr="005D3A4A">
        <w:rPr>
          <w:rFonts w:ascii="Arial" w:hAnsi="Arial" w:cs="Arial"/>
          <w:color w:val="010000"/>
          <w:sz w:val="20"/>
        </w:rPr>
        <w:t>Bienhoa</w:t>
      </w:r>
      <w:proofErr w:type="spellEnd"/>
      <w:r w:rsidRPr="005D3A4A">
        <w:rPr>
          <w:rFonts w:ascii="Arial" w:hAnsi="Arial" w:cs="Arial"/>
          <w:color w:val="010000"/>
          <w:sz w:val="20"/>
        </w:rPr>
        <w:t xml:space="preserve"> Joint Stock Company (10%), DONA Transportation Construction Joint Stock Company (0.31%).</w:t>
      </w:r>
    </w:p>
    <w:p w14:paraId="78B953D3" w14:textId="535D0B96" w:rsidR="00891664" w:rsidRPr="005D3A4A" w:rsidRDefault="00D742AC" w:rsidP="00B64296">
      <w:pPr>
        <w:numPr>
          <w:ilvl w:val="0"/>
          <w:numId w:val="3"/>
        </w:numPr>
        <w:pBdr>
          <w:top w:val="nil"/>
          <w:left w:val="nil"/>
          <w:bottom w:val="nil"/>
          <w:right w:val="nil"/>
          <w:between w:val="nil"/>
        </w:pBdr>
        <w:tabs>
          <w:tab w:val="left" w:pos="567"/>
          <w:tab w:val="left" w:pos="1078"/>
        </w:tabs>
        <w:spacing w:after="120" w:line="360" w:lineRule="auto"/>
        <w:rPr>
          <w:rFonts w:ascii="Arial" w:eastAsia="Arial" w:hAnsi="Arial" w:cs="Arial"/>
          <w:color w:val="010000"/>
          <w:sz w:val="20"/>
          <w:szCs w:val="20"/>
        </w:rPr>
      </w:pPr>
      <w:r w:rsidRPr="005D3A4A">
        <w:rPr>
          <w:rFonts w:ascii="Arial" w:hAnsi="Arial" w:cs="Arial"/>
          <w:color w:val="010000"/>
          <w:sz w:val="20"/>
        </w:rPr>
        <w:t>Maintain capital in the</w:t>
      </w:r>
      <w:r w:rsidR="00E84E1B" w:rsidRPr="005D3A4A">
        <w:rPr>
          <w:rFonts w:ascii="Arial" w:hAnsi="Arial" w:cs="Arial"/>
          <w:color w:val="010000"/>
          <w:sz w:val="20"/>
        </w:rPr>
        <w:t xml:space="preserve"> following companies: </w:t>
      </w:r>
      <w:proofErr w:type="spellStart"/>
      <w:r w:rsidR="00E84E1B" w:rsidRPr="005D3A4A">
        <w:rPr>
          <w:rFonts w:ascii="Arial" w:hAnsi="Arial" w:cs="Arial"/>
          <w:color w:val="010000"/>
          <w:sz w:val="20"/>
        </w:rPr>
        <w:t>Sonadezi</w:t>
      </w:r>
      <w:proofErr w:type="spellEnd"/>
      <w:r w:rsidR="00E84E1B" w:rsidRPr="005D3A4A">
        <w:rPr>
          <w:rFonts w:ascii="Arial" w:hAnsi="Arial" w:cs="Arial"/>
          <w:color w:val="010000"/>
          <w:sz w:val="20"/>
        </w:rPr>
        <w:t xml:space="preserve"> Environment Joint Stock Company (64.04%); Dong </w:t>
      </w:r>
      <w:proofErr w:type="spellStart"/>
      <w:r w:rsidR="00E84E1B" w:rsidRPr="005D3A4A">
        <w:rPr>
          <w:rFonts w:ascii="Arial" w:hAnsi="Arial" w:cs="Arial"/>
          <w:color w:val="010000"/>
          <w:sz w:val="20"/>
        </w:rPr>
        <w:t>Nai</w:t>
      </w:r>
      <w:proofErr w:type="spellEnd"/>
      <w:r w:rsidR="00E84E1B" w:rsidRPr="005D3A4A">
        <w:rPr>
          <w:rFonts w:ascii="Arial" w:hAnsi="Arial" w:cs="Arial"/>
          <w:color w:val="010000"/>
          <w:sz w:val="20"/>
        </w:rPr>
        <w:t xml:space="preserve"> Water Joint Stock Company (63.99%); Dong </w:t>
      </w:r>
      <w:proofErr w:type="spellStart"/>
      <w:r w:rsidR="00E84E1B" w:rsidRPr="005D3A4A">
        <w:rPr>
          <w:rFonts w:ascii="Arial" w:hAnsi="Arial" w:cs="Arial"/>
          <w:color w:val="010000"/>
          <w:sz w:val="20"/>
        </w:rPr>
        <w:t>Nai</w:t>
      </w:r>
      <w:proofErr w:type="spellEnd"/>
      <w:r w:rsidR="00E84E1B" w:rsidRPr="005D3A4A">
        <w:rPr>
          <w:rFonts w:ascii="Arial" w:hAnsi="Arial" w:cs="Arial"/>
          <w:color w:val="010000"/>
          <w:sz w:val="20"/>
        </w:rPr>
        <w:t xml:space="preserve"> Port </w:t>
      </w:r>
      <w:proofErr w:type="spellStart"/>
      <w:r w:rsidR="00E84E1B" w:rsidRPr="005D3A4A">
        <w:rPr>
          <w:rFonts w:ascii="Arial" w:hAnsi="Arial" w:cs="Arial"/>
          <w:color w:val="010000"/>
          <w:sz w:val="20"/>
        </w:rPr>
        <w:t>J</w:t>
      </w:r>
      <w:r w:rsidR="00B64296" w:rsidRPr="005D3A4A">
        <w:rPr>
          <w:rFonts w:ascii="Arial" w:hAnsi="Arial" w:cs="Arial"/>
          <w:color w:val="010000"/>
          <w:sz w:val="20"/>
        </w:rPr>
        <w:t>SC</w:t>
      </w:r>
      <w:proofErr w:type="spellEnd"/>
      <w:r w:rsidR="00E84E1B" w:rsidRPr="005D3A4A">
        <w:rPr>
          <w:rFonts w:ascii="Arial" w:hAnsi="Arial" w:cs="Arial"/>
          <w:color w:val="010000"/>
          <w:sz w:val="20"/>
        </w:rPr>
        <w:t xml:space="preserve"> (51%); </w:t>
      </w:r>
      <w:proofErr w:type="spellStart"/>
      <w:r w:rsidR="00B64296" w:rsidRPr="005D3A4A">
        <w:rPr>
          <w:rFonts w:ascii="Arial" w:hAnsi="Arial" w:cs="Arial"/>
          <w:color w:val="010000"/>
          <w:sz w:val="20"/>
        </w:rPr>
        <w:t>Sonadezi</w:t>
      </w:r>
      <w:proofErr w:type="spellEnd"/>
      <w:r w:rsidR="00B64296" w:rsidRPr="005D3A4A">
        <w:rPr>
          <w:rFonts w:ascii="Arial" w:hAnsi="Arial" w:cs="Arial"/>
          <w:color w:val="010000"/>
          <w:sz w:val="20"/>
        </w:rPr>
        <w:t xml:space="preserve"> College Of Technology &amp; Management</w:t>
      </w:r>
      <w:r w:rsidR="00E84E1B" w:rsidRPr="005D3A4A">
        <w:rPr>
          <w:rFonts w:ascii="Arial" w:hAnsi="Arial" w:cs="Arial"/>
          <w:color w:val="010000"/>
          <w:sz w:val="20"/>
        </w:rPr>
        <w:t xml:space="preserve"> (40%); </w:t>
      </w:r>
      <w:proofErr w:type="spellStart"/>
      <w:r w:rsidR="00E84E1B" w:rsidRPr="005D3A4A">
        <w:rPr>
          <w:rFonts w:ascii="Arial" w:hAnsi="Arial" w:cs="Arial"/>
          <w:color w:val="010000"/>
          <w:sz w:val="20"/>
        </w:rPr>
        <w:t>Quoc</w:t>
      </w:r>
      <w:proofErr w:type="spellEnd"/>
      <w:r w:rsidR="00E84E1B" w:rsidRPr="005D3A4A">
        <w:rPr>
          <w:rFonts w:ascii="Arial" w:hAnsi="Arial" w:cs="Arial"/>
          <w:color w:val="010000"/>
          <w:sz w:val="20"/>
        </w:rPr>
        <w:t xml:space="preserve"> Lo 91 Can </w:t>
      </w:r>
      <w:proofErr w:type="spellStart"/>
      <w:r w:rsidR="00E84E1B" w:rsidRPr="005D3A4A">
        <w:rPr>
          <w:rFonts w:ascii="Arial" w:hAnsi="Arial" w:cs="Arial"/>
          <w:color w:val="010000"/>
          <w:sz w:val="20"/>
        </w:rPr>
        <w:t>Tho</w:t>
      </w:r>
      <w:proofErr w:type="spellEnd"/>
      <w:r w:rsidR="00E84E1B" w:rsidRPr="005D3A4A">
        <w:rPr>
          <w:rFonts w:ascii="Arial" w:hAnsi="Arial" w:cs="Arial"/>
          <w:color w:val="010000"/>
          <w:sz w:val="20"/>
        </w:rPr>
        <w:t xml:space="preserve"> - An Giang Investment Joint Stock Company (39.72%); </w:t>
      </w:r>
      <w:proofErr w:type="spellStart"/>
      <w:r w:rsidR="00E84E1B" w:rsidRPr="005D3A4A">
        <w:rPr>
          <w:rFonts w:ascii="Arial" w:hAnsi="Arial" w:cs="Arial"/>
          <w:color w:val="010000"/>
          <w:sz w:val="20"/>
        </w:rPr>
        <w:t>Sonadezi</w:t>
      </w:r>
      <w:proofErr w:type="spellEnd"/>
      <w:r w:rsidR="00E84E1B" w:rsidRPr="005D3A4A">
        <w:rPr>
          <w:rFonts w:ascii="Arial" w:hAnsi="Arial" w:cs="Arial"/>
          <w:color w:val="010000"/>
          <w:sz w:val="20"/>
        </w:rPr>
        <w:t xml:space="preserve"> An </w:t>
      </w:r>
      <w:proofErr w:type="spellStart"/>
      <w:r w:rsidR="00E84E1B" w:rsidRPr="005D3A4A">
        <w:rPr>
          <w:rFonts w:ascii="Arial" w:hAnsi="Arial" w:cs="Arial"/>
          <w:color w:val="010000"/>
          <w:sz w:val="20"/>
        </w:rPr>
        <w:t>Binh</w:t>
      </w:r>
      <w:proofErr w:type="spellEnd"/>
      <w:r w:rsidR="00B64296" w:rsidRPr="005D3A4A">
        <w:rPr>
          <w:rFonts w:ascii="Arial" w:hAnsi="Arial" w:cs="Arial"/>
          <w:color w:val="010000"/>
          <w:sz w:val="20"/>
        </w:rPr>
        <w:t xml:space="preserve"> Joint Stock Company</w:t>
      </w:r>
      <w:r w:rsidR="00E84E1B" w:rsidRPr="005D3A4A">
        <w:rPr>
          <w:rFonts w:ascii="Arial" w:hAnsi="Arial" w:cs="Arial"/>
          <w:color w:val="010000"/>
          <w:sz w:val="20"/>
        </w:rPr>
        <w:t xml:space="preserve"> (37.95%); Dong </w:t>
      </w:r>
      <w:proofErr w:type="spellStart"/>
      <w:r w:rsidR="00E84E1B" w:rsidRPr="005D3A4A">
        <w:rPr>
          <w:rFonts w:ascii="Arial" w:hAnsi="Arial" w:cs="Arial"/>
          <w:color w:val="010000"/>
          <w:sz w:val="20"/>
        </w:rPr>
        <w:t>Nai</w:t>
      </w:r>
      <w:proofErr w:type="spellEnd"/>
      <w:r w:rsidR="00E84E1B" w:rsidRPr="005D3A4A">
        <w:rPr>
          <w:rFonts w:ascii="Arial" w:hAnsi="Arial" w:cs="Arial"/>
          <w:color w:val="010000"/>
          <w:sz w:val="20"/>
        </w:rPr>
        <w:t xml:space="preserve"> Housing Joint - Stock Company (36%); </w:t>
      </w:r>
      <w:proofErr w:type="spellStart"/>
      <w:r w:rsidR="00E84E1B" w:rsidRPr="005D3A4A">
        <w:rPr>
          <w:rFonts w:ascii="Arial" w:hAnsi="Arial" w:cs="Arial"/>
          <w:color w:val="010000"/>
          <w:sz w:val="20"/>
        </w:rPr>
        <w:t>Sonadezi</w:t>
      </w:r>
      <w:proofErr w:type="spellEnd"/>
      <w:r w:rsidR="00E84E1B" w:rsidRPr="005D3A4A">
        <w:rPr>
          <w:rFonts w:ascii="Arial" w:hAnsi="Arial" w:cs="Arial"/>
          <w:color w:val="010000"/>
          <w:sz w:val="20"/>
        </w:rPr>
        <w:t xml:space="preserve"> Services Joint Stock Company (20%); Dong </w:t>
      </w:r>
      <w:proofErr w:type="spellStart"/>
      <w:r w:rsidR="00E84E1B" w:rsidRPr="005D3A4A">
        <w:rPr>
          <w:rFonts w:ascii="Arial" w:hAnsi="Arial" w:cs="Arial"/>
          <w:color w:val="010000"/>
          <w:sz w:val="20"/>
        </w:rPr>
        <w:t>Nai</w:t>
      </w:r>
      <w:proofErr w:type="spellEnd"/>
      <w:r w:rsidR="00E84E1B" w:rsidRPr="005D3A4A">
        <w:rPr>
          <w:rFonts w:ascii="Arial" w:hAnsi="Arial" w:cs="Arial"/>
          <w:color w:val="010000"/>
          <w:sz w:val="20"/>
        </w:rPr>
        <w:t xml:space="preserve"> Bridge Investment and Construction Joint Stock Company (10.57%); BOT 319 Cuong </w:t>
      </w:r>
      <w:proofErr w:type="spellStart"/>
      <w:r w:rsidR="00E84E1B" w:rsidRPr="005D3A4A">
        <w:rPr>
          <w:rFonts w:ascii="Arial" w:hAnsi="Arial" w:cs="Arial"/>
          <w:color w:val="010000"/>
          <w:sz w:val="20"/>
        </w:rPr>
        <w:t>Thuan</w:t>
      </w:r>
      <w:proofErr w:type="spellEnd"/>
      <w:r w:rsidR="00E84E1B" w:rsidRPr="005D3A4A">
        <w:rPr>
          <w:rFonts w:ascii="Arial" w:hAnsi="Arial" w:cs="Arial"/>
          <w:color w:val="010000"/>
          <w:sz w:val="20"/>
        </w:rPr>
        <w:t xml:space="preserve"> </w:t>
      </w:r>
      <w:proofErr w:type="spellStart"/>
      <w:r w:rsidR="00E84E1B" w:rsidRPr="005D3A4A">
        <w:rPr>
          <w:rFonts w:ascii="Arial" w:hAnsi="Arial" w:cs="Arial"/>
          <w:color w:val="010000"/>
          <w:sz w:val="20"/>
        </w:rPr>
        <w:t>CTI</w:t>
      </w:r>
      <w:proofErr w:type="spellEnd"/>
      <w:r w:rsidR="00E84E1B" w:rsidRPr="005D3A4A">
        <w:rPr>
          <w:rFonts w:ascii="Arial" w:hAnsi="Arial" w:cs="Arial"/>
          <w:color w:val="010000"/>
          <w:sz w:val="20"/>
        </w:rPr>
        <w:t xml:space="preserve"> Corporation (10%).</w:t>
      </w:r>
    </w:p>
    <w:p w14:paraId="78D1ACC0" w14:textId="77777777" w:rsidR="00891664" w:rsidRPr="005D3A4A" w:rsidRDefault="00E84E1B" w:rsidP="00E84E1B">
      <w:p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5D3A4A">
        <w:rPr>
          <w:rFonts w:ascii="Arial" w:hAnsi="Arial" w:cs="Arial"/>
          <w:color w:val="010000"/>
          <w:sz w:val="20"/>
        </w:rPr>
        <w:t>(</w:t>
      </w:r>
      <w:proofErr w:type="gramStart"/>
      <w:r w:rsidRPr="005D3A4A">
        <w:rPr>
          <w:rFonts w:ascii="Arial" w:hAnsi="Arial" w:cs="Arial"/>
          <w:color w:val="010000"/>
          <w:sz w:val="20"/>
        </w:rPr>
        <w:t>the</w:t>
      </w:r>
      <w:proofErr w:type="gramEnd"/>
      <w:r w:rsidRPr="005D3A4A">
        <w:rPr>
          <w:rFonts w:ascii="Arial" w:hAnsi="Arial" w:cs="Arial"/>
          <w:color w:val="010000"/>
          <w:sz w:val="20"/>
        </w:rPr>
        <w:t xml:space="preserve"> Corporation restructuring project for the 2021-2025 period attached)</w:t>
      </w:r>
    </w:p>
    <w:p w14:paraId="1EDD3F8F" w14:textId="26EDBD81" w:rsidR="00891664" w:rsidRPr="005D3A4A" w:rsidRDefault="00E84E1B" w:rsidP="00E84E1B">
      <w:p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5D3A4A">
        <w:rPr>
          <w:rFonts w:ascii="Arial" w:hAnsi="Arial" w:cs="Arial"/>
          <w:color w:val="010000"/>
          <w:sz w:val="20"/>
        </w:rPr>
        <w:t xml:space="preserve">‎‎Article 2. This General Mandate takes effect from January 16, 2024. The Board of Directors, the Supervisory Board, the General Manager and other relevant individuals and units are responsible for implementing this </w:t>
      </w:r>
      <w:r w:rsidR="001B141F" w:rsidRPr="005D3A4A">
        <w:rPr>
          <w:rFonts w:ascii="Arial" w:hAnsi="Arial" w:cs="Arial"/>
          <w:color w:val="010000"/>
          <w:sz w:val="20"/>
        </w:rPr>
        <w:t>General Mandate</w:t>
      </w:r>
      <w:r w:rsidRPr="005D3A4A">
        <w:rPr>
          <w:rFonts w:ascii="Arial" w:hAnsi="Arial" w:cs="Arial"/>
          <w:color w:val="010000"/>
          <w:sz w:val="20"/>
        </w:rPr>
        <w:t>.</w:t>
      </w:r>
    </w:p>
    <w:p w14:paraId="1B801CD3" w14:textId="5B902848" w:rsidR="00891664" w:rsidRPr="005D3A4A" w:rsidRDefault="00E84E1B" w:rsidP="00E84E1B">
      <w:pPr>
        <w:keepNext/>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5D3A4A">
        <w:rPr>
          <w:rFonts w:ascii="Arial" w:hAnsi="Arial" w:cs="Arial"/>
          <w:color w:val="010000"/>
          <w:sz w:val="20"/>
        </w:rPr>
        <w:t xml:space="preserve">On January 16, 2024, </w:t>
      </w:r>
      <w:proofErr w:type="spellStart"/>
      <w:r w:rsidRPr="005D3A4A">
        <w:rPr>
          <w:rFonts w:ascii="Arial" w:hAnsi="Arial" w:cs="Arial"/>
          <w:color w:val="010000"/>
          <w:sz w:val="20"/>
        </w:rPr>
        <w:t>Sonadezi</w:t>
      </w:r>
      <w:proofErr w:type="spellEnd"/>
      <w:r w:rsidRPr="005D3A4A">
        <w:rPr>
          <w:rFonts w:ascii="Arial" w:hAnsi="Arial" w:cs="Arial"/>
          <w:color w:val="010000"/>
          <w:sz w:val="20"/>
        </w:rPr>
        <w:t xml:space="preserve"> Corporation announced </w:t>
      </w:r>
      <w:r w:rsidR="001B141F" w:rsidRPr="005D3A4A">
        <w:rPr>
          <w:rFonts w:ascii="Arial" w:hAnsi="Arial" w:cs="Arial"/>
          <w:color w:val="010000"/>
          <w:sz w:val="20"/>
        </w:rPr>
        <w:t>General Mandate</w:t>
      </w:r>
      <w:r w:rsidRPr="005D3A4A">
        <w:rPr>
          <w:rFonts w:ascii="Arial" w:hAnsi="Arial" w:cs="Arial"/>
          <w:color w:val="010000"/>
          <w:sz w:val="20"/>
        </w:rPr>
        <w:t xml:space="preserve"> No. 09/NQ-</w:t>
      </w:r>
      <w:proofErr w:type="spellStart"/>
      <w:r w:rsidRPr="005D3A4A">
        <w:rPr>
          <w:rFonts w:ascii="Arial" w:hAnsi="Arial" w:cs="Arial"/>
          <w:color w:val="010000"/>
          <w:sz w:val="20"/>
        </w:rPr>
        <w:t>SNZ</w:t>
      </w:r>
      <w:proofErr w:type="spellEnd"/>
      <w:r w:rsidRPr="005D3A4A">
        <w:rPr>
          <w:rFonts w:ascii="Arial" w:hAnsi="Arial" w:cs="Arial"/>
          <w:color w:val="010000"/>
          <w:sz w:val="20"/>
        </w:rPr>
        <w:t>-</w:t>
      </w:r>
      <w:proofErr w:type="spellStart"/>
      <w:r w:rsidRPr="005D3A4A">
        <w:rPr>
          <w:rFonts w:ascii="Arial" w:hAnsi="Arial" w:cs="Arial"/>
          <w:color w:val="010000"/>
          <w:sz w:val="20"/>
        </w:rPr>
        <w:t>QTTH</w:t>
      </w:r>
      <w:proofErr w:type="spellEnd"/>
      <w:r w:rsidRPr="005D3A4A">
        <w:rPr>
          <w:rFonts w:ascii="Arial" w:hAnsi="Arial" w:cs="Arial"/>
          <w:color w:val="010000"/>
          <w:sz w:val="20"/>
        </w:rPr>
        <w:t xml:space="preserve"> on approving the 5-year production, business and development investment plan for the 2021-2025 period as follows:</w:t>
      </w:r>
    </w:p>
    <w:p w14:paraId="1CDE88C5" w14:textId="77777777" w:rsidR="00891664" w:rsidRPr="005D3A4A" w:rsidRDefault="00E84E1B" w:rsidP="00E84E1B">
      <w:p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5D3A4A">
        <w:rPr>
          <w:rFonts w:ascii="Arial" w:hAnsi="Arial" w:cs="Arial"/>
          <w:color w:val="010000"/>
          <w:sz w:val="20"/>
        </w:rPr>
        <w:t>Article 1: Approve the 5-year production, business, investment and development plan for the 2021-2025 period according to Proposal No. 730/</w:t>
      </w:r>
      <w:proofErr w:type="spellStart"/>
      <w:r w:rsidRPr="005D3A4A">
        <w:rPr>
          <w:rFonts w:ascii="Arial" w:hAnsi="Arial" w:cs="Arial"/>
          <w:color w:val="010000"/>
          <w:sz w:val="20"/>
        </w:rPr>
        <w:t>TTr-SNZ-QTTH</w:t>
      </w:r>
      <w:proofErr w:type="spellEnd"/>
      <w:r w:rsidRPr="005D3A4A">
        <w:rPr>
          <w:rFonts w:ascii="Arial" w:hAnsi="Arial" w:cs="Arial"/>
          <w:color w:val="010000"/>
          <w:sz w:val="20"/>
        </w:rPr>
        <w:t xml:space="preserve"> dated December 29, 2023 as follow:</w:t>
      </w:r>
    </w:p>
    <w:p w14:paraId="2031B74C" w14:textId="04EB6262" w:rsidR="00891664" w:rsidRPr="005D3A4A" w:rsidRDefault="00E84E1B" w:rsidP="00E84E1B">
      <w:pPr>
        <w:numPr>
          <w:ilvl w:val="0"/>
          <w:numId w:val="2"/>
        </w:numPr>
        <w:pBdr>
          <w:top w:val="nil"/>
          <w:left w:val="nil"/>
          <w:bottom w:val="nil"/>
          <w:right w:val="nil"/>
          <w:between w:val="nil"/>
        </w:pBdr>
        <w:tabs>
          <w:tab w:val="left" w:pos="567"/>
        </w:tabs>
        <w:spacing w:after="120" w:line="360" w:lineRule="auto"/>
        <w:ind w:left="0" w:firstLine="0"/>
        <w:rPr>
          <w:rFonts w:ascii="Arial" w:eastAsia="Arial" w:hAnsi="Arial" w:cs="Arial"/>
          <w:color w:val="010000"/>
          <w:sz w:val="20"/>
          <w:szCs w:val="20"/>
        </w:rPr>
      </w:pPr>
      <w:r w:rsidRPr="005D3A4A">
        <w:rPr>
          <w:rFonts w:ascii="Arial" w:hAnsi="Arial" w:cs="Arial"/>
          <w:color w:val="010000"/>
          <w:sz w:val="20"/>
        </w:rPr>
        <w:t xml:space="preserve">5-year </w:t>
      </w:r>
      <w:r w:rsidR="001B141F" w:rsidRPr="005D3A4A">
        <w:rPr>
          <w:rFonts w:ascii="Arial" w:hAnsi="Arial" w:cs="Arial"/>
          <w:color w:val="010000"/>
          <w:sz w:val="20"/>
        </w:rPr>
        <w:t xml:space="preserve">production and </w:t>
      </w:r>
      <w:r w:rsidRPr="005D3A4A">
        <w:rPr>
          <w:rFonts w:ascii="Arial" w:hAnsi="Arial" w:cs="Arial"/>
          <w:color w:val="010000"/>
          <w:sz w:val="20"/>
        </w:rPr>
        <w:t>business plan for the 2021-2025 period:</w:t>
      </w:r>
    </w:p>
    <w:p w14:paraId="2E51AE42" w14:textId="77777777" w:rsidR="00891664" w:rsidRPr="005D3A4A" w:rsidRDefault="00E84E1B" w:rsidP="00E84E1B">
      <w:p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5D3A4A">
        <w:rPr>
          <w:rFonts w:ascii="Arial" w:hAnsi="Arial" w:cs="Arial"/>
          <w:color w:val="010000"/>
          <w:sz w:val="20"/>
        </w:rPr>
        <w:lastRenderedPageBreak/>
        <w:t xml:space="preserve">Unit: Billion </w:t>
      </w:r>
      <w:proofErr w:type="spellStart"/>
      <w:r w:rsidRPr="005D3A4A">
        <w:rPr>
          <w:rFonts w:ascii="Arial" w:hAnsi="Arial" w:cs="Arial"/>
          <w:color w:val="010000"/>
          <w:sz w:val="20"/>
        </w:rPr>
        <w:t>VND</w:t>
      </w:r>
      <w:proofErr w:type="spellEnd"/>
    </w:p>
    <w:tbl>
      <w:tblPr>
        <w:tblStyle w:val="a"/>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43"/>
        <w:gridCol w:w="2820"/>
        <w:gridCol w:w="1089"/>
        <w:gridCol w:w="11"/>
        <w:gridCol w:w="1032"/>
        <w:gridCol w:w="11"/>
        <w:gridCol w:w="1099"/>
        <w:gridCol w:w="987"/>
        <w:gridCol w:w="1127"/>
      </w:tblGrid>
      <w:tr w:rsidR="00891664" w:rsidRPr="005D3A4A" w14:paraId="1EB1B83F" w14:textId="77777777" w:rsidTr="00E84E1B">
        <w:trPr>
          <w:jc w:val="center"/>
        </w:trPr>
        <w:tc>
          <w:tcPr>
            <w:tcW w:w="467" w:type="pct"/>
            <w:shd w:val="clear" w:color="auto" w:fill="auto"/>
            <w:tcMar>
              <w:top w:w="0" w:type="dxa"/>
              <w:bottom w:w="0" w:type="dxa"/>
            </w:tcMar>
            <w:vAlign w:val="center"/>
          </w:tcPr>
          <w:p w14:paraId="0E96F70A" w14:textId="77777777" w:rsidR="00891664" w:rsidRPr="005D3A4A" w:rsidRDefault="00E84E1B" w:rsidP="00E84E1B">
            <w:pPr>
              <w:pBdr>
                <w:top w:val="nil"/>
                <w:left w:val="nil"/>
                <w:bottom w:val="nil"/>
                <w:right w:val="nil"/>
                <w:between w:val="nil"/>
              </w:pBdr>
              <w:tabs>
                <w:tab w:val="left" w:pos="567"/>
              </w:tabs>
              <w:spacing w:after="120" w:line="360" w:lineRule="auto"/>
              <w:jc w:val="center"/>
              <w:rPr>
                <w:rFonts w:ascii="Arial" w:eastAsia="Arial" w:hAnsi="Arial" w:cs="Arial"/>
                <w:color w:val="010000"/>
                <w:sz w:val="20"/>
                <w:szCs w:val="20"/>
              </w:rPr>
            </w:pPr>
            <w:r w:rsidRPr="005D3A4A">
              <w:rPr>
                <w:rFonts w:ascii="Arial" w:hAnsi="Arial" w:cs="Arial"/>
                <w:color w:val="010000"/>
                <w:sz w:val="20"/>
              </w:rPr>
              <w:t>No.</w:t>
            </w:r>
          </w:p>
        </w:tc>
        <w:tc>
          <w:tcPr>
            <w:tcW w:w="1563" w:type="pct"/>
            <w:shd w:val="clear" w:color="auto" w:fill="auto"/>
            <w:tcMar>
              <w:top w:w="0" w:type="dxa"/>
              <w:bottom w:w="0" w:type="dxa"/>
            </w:tcMar>
            <w:vAlign w:val="center"/>
          </w:tcPr>
          <w:p w14:paraId="50900509" w14:textId="77777777" w:rsidR="00891664" w:rsidRPr="005D3A4A" w:rsidRDefault="00E84E1B" w:rsidP="00E84E1B">
            <w:pPr>
              <w:pBdr>
                <w:top w:val="nil"/>
                <w:left w:val="nil"/>
                <w:bottom w:val="nil"/>
                <w:right w:val="nil"/>
                <w:between w:val="nil"/>
              </w:pBdr>
              <w:tabs>
                <w:tab w:val="left" w:pos="567"/>
              </w:tabs>
              <w:spacing w:after="120" w:line="360" w:lineRule="auto"/>
              <w:jc w:val="center"/>
              <w:rPr>
                <w:rFonts w:ascii="Arial" w:eastAsia="Arial" w:hAnsi="Arial" w:cs="Arial"/>
                <w:color w:val="010000"/>
                <w:sz w:val="20"/>
                <w:szCs w:val="20"/>
              </w:rPr>
            </w:pPr>
            <w:r w:rsidRPr="005D3A4A">
              <w:rPr>
                <w:rFonts w:ascii="Arial" w:hAnsi="Arial" w:cs="Arial"/>
                <w:color w:val="010000"/>
                <w:sz w:val="20"/>
              </w:rPr>
              <w:t>Targets</w:t>
            </w:r>
          </w:p>
        </w:tc>
        <w:tc>
          <w:tcPr>
            <w:tcW w:w="610" w:type="pct"/>
            <w:gridSpan w:val="2"/>
            <w:shd w:val="clear" w:color="auto" w:fill="auto"/>
            <w:tcMar>
              <w:top w:w="0" w:type="dxa"/>
              <w:bottom w:w="0" w:type="dxa"/>
            </w:tcMar>
            <w:vAlign w:val="center"/>
          </w:tcPr>
          <w:p w14:paraId="401E1245" w14:textId="77777777" w:rsidR="00891664" w:rsidRPr="005D3A4A" w:rsidRDefault="00E84E1B" w:rsidP="00E84E1B">
            <w:pPr>
              <w:pBdr>
                <w:top w:val="nil"/>
                <w:left w:val="nil"/>
                <w:bottom w:val="nil"/>
                <w:right w:val="nil"/>
                <w:between w:val="nil"/>
              </w:pBdr>
              <w:tabs>
                <w:tab w:val="left" w:pos="567"/>
              </w:tabs>
              <w:spacing w:after="120" w:line="360" w:lineRule="auto"/>
              <w:jc w:val="center"/>
              <w:rPr>
                <w:rFonts w:ascii="Arial" w:eastAsia="Arial" w:hAnsi="Arial" w:cs="Arial"/>
                <w:color w:val="010000"/>
                <w:sz w:val="20"/>
                <w:szCs w:val="20"/>
              </w:rPr>
            </w:pPr>
            <w:r w:rsidRPr="005D3A4A">
              <w:rPr>
                <w:rFonts w:ascii="Arial" w:hAnsi="Arial" w:cs="Arial"/>
                <w:color w:val="010000"/>
                <w:sz w:val="20"/>
              </w:rPr>
              <w:t>2021</w:t>
            </w:r>
          </w:p>
        </w:tc>
        <w:tc>
          <w:tcPr>
            <w:tcW w:w="578" w:type="pct"/>
            <w:gridSpan w:val="2"/>
            <w:shd w:val="clear" w:color="auto" w:fill="auto"/>
            <w:tcMar>
              <w:top w:w="0" w:type="dxa"/>
              <w:bottom w:w="0" w:type="dxa"/>
            </w:tcMar>
            <w:vAlign w:val="center"/>
          </w:tcPr>
          <w:p w14:paraId="5CAFBF66" w14:textId="77777777" w:rsidR="00891664" w:rsidRPr="005D3A4A" w:rsidRDefault="00E84E1B" w:rsidP="00E84E1B">
            <w:pPr>
              <w:pBdr>
                <w:top w:val="nil"/>
                <w:left w:val="nil"/>
                <w:bottom w:val="nil"/>
                <w:right w:val="nil"/>
                <w:between w:val="nil"/>
              </w:pBdr>
              <w:tabs>
                <w:tab w:val="left" w:pos="567"/>
              </w:tabs>
              <w:spacing w:after="120" w:line="360" w:lineRule="auto"/>
              <w:jc w:val="center"/>
              <w:rPr>
                <w:rFonts w:ascii="Arial" w:eastAsia="Arial" w:hAnsi="Arial" w:cs="Arial"/>
                <w:color w:val="010000"/>
                <w:sz w:val="20"/>
                <w:szCs w:val="20"/>
              </w:rPr>
            </w:pPr>
            <w:r w:rsidRPr="005D3A4A">
              <w:rPr>
                <w:rFonts w:ascii="Arial" w:hAnsi="Arial" w:cs="Arial"/>
                <w:color w:val="010000"/>
                <w:sz w:val="20"/>
              </w:rPr>
              <w:t>2022</w:t>
            </w:r>
          </w:p>
        </w:tc>
        <w:tc>
          <w:tcPr>
            <w:tcW w:w="609" w:type="pct"/>
            <w:shd w:val="clear" w:color="auto" w:fill="auto"/>
            <w:tcMar>
              <w:top w:w="0" w:type="dxa"/>
              <w:bottom w:w="0" w:type="dxa"/>
            </w:tcMar>
            <w:vAlign w:val="center"/>
          </w:tcPr>
          <w:p w14:paraId="5D4EA031" w14:textId="77777777" w:rsidR="00891664" w:rsidRPr="005D3A4A" w:rsidRDefault="00E84E1B" w:rsidP="00E84E1B">
            <w:pPr>
              <w:pBdr>
                <w:top w:val="nil"/>
                <w:left w:val="nil"/>
                <w:bottom w:val="nil"/>
                <w:right w:val="nil"/>
                <w:between w:val="nil"/>
              </w:pBdr>
              <w:tabs>
                <w:tab w:val="left" w:pos="567"/>
              </w:tabs>
              <w:spacing w:after="120" w:line="360" w:lineRule="auto"/>
              <w:jc w:val="center"/>
              <w:rPr>
                <w:rFonts w:ascii="Arial" w:eastAsia="Arial" w:hAnsi="Arial" w:cs="Arial"/>
                <w:color w:val="010000"/>
                <w:sz w:val="20"/>
                <w:szCs w:val="20"/>
              </w:rPr>
            </w:pPr>
            <w:r w:rsidRPr="005D3A4A">
              <w:rPr>
                <w:rFonts w:ascii="Arial" w:hAnsi="Arial" w:cs="Arial"/>
                <w:color w:val="010000"/>
                <w:sz w:val="20"/>
              </w:rPr>
              <w:t>2023</w:t>
            </w:r>
          </w:p>
        </w:tc>
        <w:tc>
          <w:tcPr>
            <w:tcW w:w="547" w:type="pct"/>
            <w:shd w:val="clear" w:color="auto" w:fill="auto"/>
            <w:tcMar>
              <w:top w:w="0" w:type="dxa"/>
              <w:bottom w:w="0" w:type="dxa"/>
            </w:tcMar>
            <w:vAlign w:val="center"/>
          </w:tcPr>
          <w:p w14:paraId="2C646679" w14:textId="77777777" w:rsidR="00891664" w:rsidRPr="005D3A4A" w:rsidRDefault="00E84E1B" w:rsidP="00E84E1B">
            <w:pPr>
              <w:pBdr>
                <w:top w:val="nil"/>
                <w:left w:val="nil"/>
                <w:bottom w:val="nil"/>
                <w:right w:val="nil"/>
                <w:between w:val="nil"/>
              </w:pBdr>
              <w:tabs>
                <w:tab w:val="left" w:pos="567"/>
              </w:tabs>
              <w:spacing w:after="120" w:line="360" w:lineRule="auto"/>
              <w:jc w:val="center"/>
              <w:rPr>
                <w:rFonts w:ascii="Arial" w:eastAsia="Arial" w:hAnsi="Arial" w:cs="Arial"/>
                <w:color w:val="010000"/>
                <w:sz w:val="20"/>
                <w:szCs w:val="20"/>
              </w:rPr>
            </w:pPr>
            <w:r w:rsidRPr="005D3A4A">
              <w:rPr>
                <w:rFonts w:ascii="Arial" w:hAnsi="Arial" w:cs="Arial"/>
                <w:color w:val="010000"/>
                <w:sz w:val="20"/>
              </w:rPr>
              <w:t>2024</w:t>
            </w:r>
          </w:p>
        </w:tc>
        <w:tc>
          <w:tcPr>
            <w:tcW w:w="625" w:type="pct"/>
            <w:shd w:val="clear" w:color="auto" w:fill="auto"/>
            <w:tcMar>
              <w:top w:w="0" w:type="dxa"/>
              <w:bottom w:w="0" w:type="dxa"/>
            </w:tcMar>
            <w:vAlign w:val="center"/>
          </w:tcPr>
          <w:p w14:paraId="22BBEE4D" w14:textId="77777777" w:rsidR="00891664" w:rsidRPr="005D3A4A" w:rsidRDefault="00E84E1B" w:rsidP="00E84E1B">
            <w:pPr>
              <w:pBdr>
                <w:top w:val="nil"/>
                <w:left w:val="nil"/>
                <w:bottom w:val="nil"/>
                <w:right w:val="nil"/>
                <w:between w:val="nil"/>
              </w:pBdr>
              <w:tabs>
                <w:tab w:val="left" w:pos="567"/>
              </w:tabs>
              <w:spacing w:after="120" w:line="360" w:lineRule="auto"/>
              <w:jc w:val="center"/>
              <w:rPr>
                <w:rFonts w:ascii="Arial" w:eastAsia="Arial" w:hAnsi="Arial" w:cs="Arial"/>
                <w:color w:val="010000"/>
                <w:sz w:val="20"/>
                <w:szCs w:val="20"/>
              </w:rPr>
            </w:pPr>
            <w:r w:rsidRPr="005D3A4A">
              <w:rPr>
                <w:rFonts w:ascii="Arial" w:hAnsi="Arial" w:cs="Arial"/>
                <w:color w:val="010000"/>
                <w:sz w:val="20"/>
              </w:rPr>
              <w:t>2025</w:t>
            </w:r>
          </w:p>
        </w:tc>
      </w:tr>
      <w:tr w:rsidR="00891664" w:rsidRPr="005D3A4A" w14:paraId="126A1AD0" w14:textId="77777777" w:rsidTr="00E84E1B">
        <w:trPr>
          <w:jc w:val="center"/>
        </w:trPr>
        <w:tc>
          <w:tcPr>
            <w:tcW w:w="467" w:type="pct"/>
            <w:shd w:val="clear" w:color="auto" w:fill="auto"/>
            <w:tcMar>
              <w:top w:w="0" w:type="dxa"/>
              <w:bottom w:w="0" w:type="dxa"/>
            </w:tcMar>
            <w:vAlign w:val="center"/>
          </w:tcPr>
          <w:p w14:paraId="22F60C2D" w14:textId="77777777" w:rsidR="00891664" w:rsidRPr="005D3A4A" w:rsidRDefault="00891664" w:rsidP="00E84E1B">
            <w:pPr>
              <w:tabs>
                <w:tab w:val="left" w:pos="567"/>
              </w:tabs>
              <w:spacing w:after="120" w:line="360" w:lineRule="auto"/>
              <w:jc w:val="center"/>
              <w:rPr>
                <w:rFonts w:ascii="Arial" w:eastAsia="Arial" w:hAnsi="Arial" w:cs="Arial"/>
                <w:color w:val="010000"/>
                <w:sz w:val="20"/>
                <w:szCs w:val="20"/>
              </w:rPr>
            </w:pPr>
          </w:p>
        </w:tc>
        <w:tc>
          <w:tcPr>
            <w:tcW w:w="1563" w:type="pct"/>
            <w:shd w:val="clear" w:color="auto" w:fill="auto"/>
            <w:tcMar>
              <w:top w:w="0" w:type="dxa"/>
              <w:bottom w:w="0" w:type="dxa"/>
            </w:tcMar>
            <w:vAlign w:val="center"/>
          </w:tcPr>
          <w:p w14:paraId="543DD22B" w14:textId="77777777" w:rsidR="00891664" w:rsidRPr="005D3A4A" w:rsidRDefault="00E84E1B" w:rsidP="00E84E1B">
            <w:p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5D3A4A">
              <w:rPr>
                <w:rFonts w:ascii="Arial" w:hAnsi="Arial" w:cs="Arial"/>
                <w:color w:val="010000"/>
                <w:sz w:val="20"/>
              </w:rPr>
              <w:t>Charter capital</w:t>
            </w:r>
          </w:p>
        </w:tc>
        <w:tc>
          <w:tcPr>
            <w:tcW w:w="610" w:type="pct"/>
            <w:gridSpan w:val="2"/>
            <w:shd w:val="clear" w:color="auto" w:fill="auto"/>
            <w:tcMar>
              <w:top w:w="0" w:type="dxa"/>
              <w:bottom w:w="0" w:type="dxa"/>
            </w:tcMar>
            <w:vAlign w:val="center"/>
          </w:tcPr>
          <w:p w14:paraId="62B4A1D2"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3,765</w:t>
            </w:r>
          </w:p>
        </w:tc>
        <w:tc>
          <w:tcPr>
            <w:tcW w:w="578" w:type="pct"/>
            <w:gridSpan w:val="2"/>
            <w:shd w:val="clear" w:color="auto" w:fill="auto"/>
            <w:tcMar>
              <w:top w:w="0" w:type="dxa"/>
              <w:bottom w:w="0" w:type="dxa"/>
            </w:tcMar>
            <w:vAlign w:val="center"/>
          </w:tcPr>
          <w:p w14:paraId="46B0EC33"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3,765</w:t>
            </w:r>
          </w:p>
        </w:tc>
        <w:tc>
          <w:tcPr>
            <w:tcW w:w="609" w:type="pct"/>
            <w:shd w:val="clear" w:color="auto" w:fill="auto"/>
            <w:tcMar>
              <w:top w:w="0" w:type="dxa"/>
              <w:bottom w:w="0" w:type="dxa"/>
            </w:tcMar>
            <w:vAlign w:val="center"/>
          </w:tcPr>
          <w:p w14:paraId="0C62447C"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3,765</w:t>
            </w:r>
          </w:p>
        </w:tc>
        <w:tc>
          <w:tcPr>
            <w:tcW w:w="547" w:type="pct"/>
            <w:shd w:val="clear" w:color="auto" w:fill="auto"/>
            <w:tcMar>
              <w:top w:w="0" w:type="dxa"/>
              <w:bottom w:w="0" w:type="dxa"/>
            </w:tcMar>
            <w:vAlign w:val="center"/>
          </w:tcPr>
          <w:p w14:paraId="30EA085D"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3,765</w:t>
            </w:r>
          </w:p>
        </w:tc>
        <w:tc>
          <w:tcPr>
            <w:tcW w:w="625" w:type="pct"/>
            <w:shd w:val="clear" w:color="auto" w:fill="auto"/>
            <w:tcMar>
              <w:top w:w="0" w:type="dxa"/>
              <w:bottom w:w="0" w:type="dxa"/>
            </w:tcMar>
            <w:vAlign w:val="center"/>
          </w:tcPr>
          <w:p w14:paraId="1D4F9DEC"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3,765</w:t>
            </w:r>
          </w:p>
        </w:tc>
      </w:tr>
      <w:tr w:rsidR="00891664" w:rsidRPr="005D3A4A" w14:paraId="74B7E5EF" w14:textId="77777777" w:rsidTr="00E84E1B">
        <w:trPr>
          <w:jc w:val="center"/>
        </w:trPr>
        <w:tc>
          <w:tcPr>
            <w:tcW w:w="467" w:type="pct"/>
            <w:shd w:val="clear" w:color="auto" w:fill="auto"/>
            <w:tcMar>
              <w:top w:w="0" w:type="dxa"/>
              <w:bottom w:w="0" w:type="dxa"/>
            </w:tcMar>
            <w:vAlign w:val="center"/>
          </w:tcPr>
          <w:p w14:paraId="0B935A42" w14:textId="77777777" w:rsidR="00891664" w:rsidRPr="005D3A4A" w:rsidRDefault="00891664" w:rsidP="00E84E1B">
            <w:pPr>
              <w:tabs>
                <w:tab w:val="left" w:pos="567"/>
              </w:tabs>
              <w:spacing w:after="120" w:line="360" w:lineRule="auto"/>
              <w:jc w:val="center"/>
              <w:rPr>
                <w:rFonts w:ascii="Arial" w:eastAsia="Arial" w:hAnsi="Arial" w:cs="Arial"/>
                <w:color w:val="010000"/>
                <w:sz w:val="20"/>
                <w:szCs w:val="20"/>
              </w:rPr>
            </w:pPr>
          </w:p>
        </w:tc>
        <w:tc>
          <w:tcPr>
            <w:tcW w:w="1563" w:type="pct"/>
            <w:shd w:val="clear" w:color="auto" w:fill="auto"/>
            <w:tcMar>
              <w:top w:w="0" w:type="dxa"/>
              <w:bottom w:w="0" w:type="dxa"/>
            </w:tcMar>
            <w:vAlign w:val="center"/>
          </w:tcPr>
          <w:p w14:paraId="2EFA4E66" w14:textId="77777777" w:rsidR="00891664" w:rsidRPr="005D3A4A" w:rsidRDefault="00E84E1B" w:rsidP="00E84E1B">
            <w:p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5D3A4A">
              <w:rPr>
                <w:rFonts w:ascii="Arial" w:hAnsi="Arial" w:cs="Arial"/>
                <w:color w:val="010000"/>
                <w:sz w:val="20"/>
              </w:rPr>
              <w:t>Holding Company</w:t>
            </w:r>
          </w:p>
        </w:tc>
        <w:tc>
          <w:tcPr>
            <w:tcW w:w="610" w:type="pct"/>
            <w:gridSpan w:val="2"/>
            <w:shd w:val="clear" w:color="auto" w:fill="auto"/>
            <w:tcMar>
              <w:top w:w="0" w:type="dxa"/>
              <w:bottom w:w="0" w:type="dxa"/>
            </w:tcMar>
            <w:vAlign w:val="center"/>
          </w:tcPr>
          <w:p w14:paraId="539E7047" w14:textId="77777777" w:rsidR="00891664" w:rsidRPr="005D3A4A" w:rsidRDefault="00891664" w:rsidP="00E84E1B">
            <w:pPr>
              <w:tabs>
                <w:tab w:val="left" w:pos="567"/>
              </w:tabs>
              <w:spacing w:after="120" w:line="360" w:lineRule="auto"/>
              <w:jc w:val="right"/>
              <w:rPr>
                <w:rFonts w:ascii="Arial" w:eastAsia="Arial" w:hAnsi="Arial" w:cs="Arial"/>
                <w:color w:val="010000"/>
                <w:sz w:val="20"/>
                <w:szCs w:val="20"/>
              </w:rPr>
            </w:pPr>
          </w:p>
        </w:tc>
        <w:tc>
          <w:tcPr>
            <w:tcW w:w="578" w:type="pct"/>
            <w:gridSpan w:val="2"/>
            <w:shd w:val="clear" w:color="auto" w:fill="auto"/>
            <w:tcMar>
              <w:top w:w="0" w:type="dxa"/>
              <w:bottom w:w="0" w:type="dxa"/>
            </w:tcMar>
            <w:vAlign w:val="center"/>
          </w:tcPr>
          <w:p w14:paraId="004629BD" w14:textId="77777777" w:rsidR="00891664" w:rsidRPr="005D3A4A" w:rsidRDefault="00891664" w:rsidP="00E84E1B">
            <w:pPr>
              <w:tabs>
                <w:tab w:val="left" w:pos="567"/>
              </w:tabs>
              <w:spacing w:after="120" w:line="360" w:lineRule="auto"/>
              <w:jc w:val="right"/>
              <w:rPr>
                <w:rFonts w:ascii="Arial" w:eastAsia="Arial" w:hAnsi="Arial" w:cs="Arial"/>
                <w:color w:val="010000"/>
                <w:sz w:val="20"/>
                <w:szCs w:val="20"/>
              </w:rPr>
            </w:pPr>
          </w:p>
        </w:tc>
        <w:tc>
          <w:tcPr>
            <w:tcW w:w="609" w:type="pct"/>
            <w:shd w:val="clear" w:color="auto" w:fill="auto"/>
            <w:tcMar>
              <w:top w:w="0" w:type="dxa"/>
              <w:bottom w:w="0" w:type="dxa"/>
            </w:tcMar>
            <w:vAlign w:val="center"/>
          </w:tcPr>
          <w:p w14:paraId="1EBBF840" w14:textId="77777777" w:rsidR="00891664" w:rsidRPr="005D3A4A" w:rsidRDefault="00891664" w:rsidP="00E84E1B">
            <w:pPr>
              <w:tabs>
                <w:tab w:val="left" w:pos="567"/>
              </w:tabs>
              <w:spacing w:after="120" w:line="360" w:lineRule="auto"/>
              <w:jc w:val="right"/>
              <w:rPr>
                <w:rFonts w:ascii="Arial" w:eastAsia="Arial" w:hAnsi="Arial" w:cs="Arial"/>
                <w:color w:val="010000"/>
                <w:sz w:val="20"/>
                <w:szCs w:val="20"/>
              </w:rPr>
            </w:pPr>
          </w:p>
        </w:tc>
        <w:tc>
          <w:tcPr>
            <w:tcW w:w="547" w:type="pct"/>
            <w:shd w:val="clear" w:color="auto" w:fill="auto"/>
            <w:tcMar>
              <w:top w:w="0" w:type="dxa"/>
              <w:bottom w:w="0" w:type="dxa"/>
            </w:tcMar>
            <w:vAlign w:val="center"/>
          </w:tcPr>
          <w:p w14:paraId="2C2F78C2" w14:textId="77777777" w:rsidR="00891664" w:rsidRPr="005D3A4A" w:rsidRDefault="00891664" w:rsidP="00E84E1B">
            <w:pPr>
              <w:tabs>
                <w:tab w:val="left" w:pos="567"/>
              </w:tabs>
              <w:spacing w:after="120" w:line="360" w:lineRule="auto"/>
              <w:jc w:val="right"/>
              <w:rPr>
                <w:rFonts w:ascii="Arial" w:eastAsia="Arial" w:hAnsi="Arial" w:cs="Arial"/>
                <w:color w:val="010000"/>
                <w:sz w:val="20"/>
                <w:szCs w:val="20"/>
              </w:rPr>
            </w:pPr>
          </w:p>
        </w:tc>
        <w:tc>
          <w:tcPr>
            <w:tcW w:w="625" w:type="pct"/>
            <w:shd w:val="clear" w:color="auto" w:fill="auto"/>
            <w:tcMar>
              <w:top w:w="0" w:type="dxa"/>
              <w:bottom w:w="0" w:type="dxa"/>
            </w:tcMar>
            <w:vAlign w:val="center"/>
          </w:tcPr>
          <w:p w14:paraId="3438739C" w14:textId="77777777" w:rsidR="00891664" w:rsidRPr="005D3A4A" w:rsidRDefault="00891664" w:rsidP="00E84E1B">
            <w:pPr>
              <w:tabs>
                <w:tab w:val="left" w:pos="567"/>
              </w:tabs>
              <w:spacing w:after="120" w:line="360" w:lineRule="auto"/>
              <w:jc w:val="right"/>
              <w:rPr>
                <w:rFonts w:ascii="Arial" w:eastAsia="Arial" w:hAnsi="Arial" w:cs="Arial"/>
                <w:color w:val="010000"/>
                <w:sz w:val="20"/>
                <w:szCs w:val="20"/>
              </w:rPr>
            </w:pPr>
          </w:p>
        </w:tc>
      </w:tr>
      <w:tr w:rsidR="00891664" w:rsidRPr="005D3A4A" w14:paraId="7BE8918D" w14:textId="77777777" w:rsidTr="00E84E1B">
        <w:trPr>
          <w:jc w:val="center"/>
        </w:trPr>
        <w:tc>
          <w:tcPr>
            <w:tcW w:w="467" w:type="pct"/>
            <w:shd w:val="clear" w:color="auto" w:fill="auto"/>
            <w:tcMar>
              <w:top w:w="0" w:type="dxa"/>
              <w:bottom w:w="0" w:type="dxa"/>
            </w:tcMar>
            <w:vAlign w:val="center"/>
          </w:tcPr>
          <w:p w14:paraId="4DFCFFDA" w14:textId="77777777" w:rsidR="00891664" w:rsidRPr="005D3A4A" w:rsidRDefault="00E84E1B" w:rsidP="00E84E1B">
            <w:pPr>
              <w:pBdr>
                <w:top w:val="nil"/>
                <w:left w:val="nil"/>
                <w:bottom w:val="nil"/>
                <w:right w:val="nil"/>
                <w:between w:val="nil"/>
              </w:pBdr>
              <w:tabs>
                <w:tab w:val="left" w:pos="567"/>
              </w:tabs>
              <w:spacing w:after="120" w:line="360" w:lineRule="auto"/>
              <w:jc w:val="center"/>
              <w:rPr>
                <w:rFonts w:ascii="Arial" w:eastAsia="Arial" w:hAnsi="Arial" w:cs="Arial"/>
                <w:color w:val="010000"/>
                <w:sz w:val="20"/>
                <w:szCs w:val="20"/>
              </w:rPr>
            </w:pPr>
            <w:r w:rsidRPr="005D3A4A">
              <w:rPr>
                <w:rFonts w:ascii="Arial" w:hAnsi="Arial" w:cs="Arial"/>
                <w:color w:val="010000"/>
                <w:sz w:val="20"/>
              </w:rPr>
              <w:t>1</w:t>
            </w:r>
          </w:p>
        </w:tc>
        <w:tc>
          <w:tcPr>
            <w:tcW w:w="1563" w:type="pct"/>
            <w:shd w:val="clear" w:color="auto" w:fill="auto"/>
            <w:tcMar>
              <w:top w:w="0" w:type="dxa"/>
              <w:bottom w:w="0" w:type="dxa"/>
            </w:tcMar>
            <w:vAlign w:val="center"/>
          </w:tcPr>
          <w:p w14:paraId="7DF03C1D" w14:textId="77777777" w:rsidR="00891664" w:rsidRPr="005D3A4A" w:rsidRDefault="00E84E1B" w:rsidP="00E84E1B">
            <w:p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5D3A4A">
              <w:rPr>
                <w:rFonts w:ascii="Arial" w:hAnsi="Arial" w:cs="Arial"/>
                <w:color w:val="010000"/>
                <w:sz w:val="20"/>
              </w:rPr>
              <w:t>Total revenue</w:t>
            </w:r>
          </w:p>
        </w:tc>
        <w:tc>
          <w:tcPr>
            <w:tcW w:w="610" w:type="pct"/>
            <w:gridSpan w:val="2"/>
            <w:shd w:val="clear" w:color="auto" w:fill="auto"/>
            <w:tcMar>
              <w:top w:w="0" w:type="dxa"/>
              <w:bottom w:w="0" w:type="dxa"/>
            </w:tcMar>
            <w:vAlign w:val="center"/>
          </w:tcPr>
          <w:p w14:paraId="043F1049"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629</w:t>
            </w:r>
          </w:p>
        </w:tc>
        <w:tc>
          <w:tcPr>
            <w:tcW w:w="578" w:type="pct"/>
            <w:gridSpan w:val="2"/>
            <w:shd w:val="clear" w:color="auto" w:fill="auto"/>
            <w:tcMar>
              <w:top w:w="0" w:type="dxa"/>
              <w:bottom w:w="0" w:type="dxa"/>
            </w:tcMar>
            <w:vAlign w:val="center"/>
          </w:tcPr>
          <w:p w14:paraId="02607BCB"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682</w:t>
            </w:r>
          </w:p>
        </w:tc>
        <w:tc>
          <w:tcPr>
            <w:tcW w:w="609" w:type="pct"/>
            <w:shd w:val="clear" w:color="auto" w:fill="auto"/>
            <w:tcMar>
              <w:top w:w="0" w:type="dxa"/>
              <w:bottom w:w="0" w:type="dxa"/>
            </w:tcMar>
            <w:vAlign w:val="center"/>
          </w:tcPr>
          <w:p w14:paraId="4A79C1DC"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681</w:t>
            </w:r>
          </w:p>
        </w:tc>
        <w:tc>
          <w:tcPr>
            <w:tcW w:w="547" w:type="pct"/>
            <w:shd w:val="clear" w:color="auto" w:fill="auto"/>
            <w:tcMar>
              <w:top w:w="0" w:type="dxa"/>
              <w:bottom w:w="0" w:type="dxa"/>
            </w:tcMar>
            <w:vAlign w:val="center"/>
          </w:tcPr>
          <w:p w14:paraId="3C0EE7B8"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695</w:t>
            </w:r>
          </w:p>
        </w:tc>
        <w:tc>
          <w:tcPr>
            <w:tcW w:w="625" w:type="pct"/>
            <w:shd w:val="clear" w:color="auto" w:fill="auto"/>
            <w:tcMar>
              <w:top w:w="0" w:type="dxa"/>
              <w:bottom w:w="0" w:type="dxa"/>
            </w:tcMar>
            <w:vAlign w:val="center"/>
          </w:tcPr>
          <w:p w14:paraId="22DC63AC"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714</w:t>
            </w:r>
          </w:p>
        </w:tc>
      </w:tr>
      <w:tr w:rsidR="00891664" w:rsidRPr="005D3A4A" w14:paraId="6AFE9958" w14:textId="77777777" w:rsidTr="00E84E1B">
        <w:trPr>
          <w:jc w:val="center"/>
        </w:trPr>
        <w:tc>
          <w:tcPr>
            <w:tcW w:w="467" w:type="pct"/>
            <w:shd w:val="clear" w:color="auto" w:fill="auto"/>
            <w:tcMar>
              <w:top w:w="0" w:type="dxa"/>
              <w:bottom w:w="0" w:type="dxa"/>
            </w:tcMar>
            <w:vAlign w:val="center"/>
          </w:tcPr>
          <w:p w14:paraId="2424C6C9" w14:textId="77777777" w:rsidR="00891664" w:rsidRPr="005D3A4A" w:rsidRDefault="00E84E1B" w:rsidP="00E84E1B">
            <w:pPr>
              <w:pBdr>
                <w:top w:val="nil"/>
                <w:left w:val="nil"/>
                <w:bottom w:val="nil"/>
                <w:right w:val="nil"/>
                <w:between w:val="nil"/>
              </w:pBdr>
              <w:tabs>
                <w:tab w:val="left" w:pos="567"/>
              </w:tabs>
              <w:spacing w:after="120" w:line="360" w:lineRule="auto"/>
              <w:jc w:val="center"/>
              <w:rPr>
                <w:rFonts w:ascii="Arial" w:eastAsia="Arial" w:hAnsi="Arial" w:cs="Arial"/>
                <w:color w:val="010000"/>
                <w:sz w:val="20"/>
                <w:szCs w:val="20"/>
              </w:rPr>
            </w:pPr>
            <w:r w:rsidRPr="005D3A4A">
              <w:rPr>
                <w:rFonts w:ascii="Arial" w:hAnsi="Arial" w:cs="Arial"/>
                <w:color w:val="010000"/>
                <w:sz w:val="20"/>
              </w:rPr>
              <w:t>2</w:t>
            </w:r>
          </w:p>
        </w:tc>
        <w:tc>
          <w:tcPr>
            <w:tcW w:w="1563" w:type="pct"/>
            <w:shd w:val="clear" w:color="auto" w:fill="auto"/>
            <w:tcMar>
              <w:top w:w="0" w:type="dxa"/>
              <w:bottom w:w="0" w:type="dxa"/>
            </w:tcMar>
            <w:vAlign w:val="center"/>
          </w:tcPr>
          <w:p w14:paraId="31EACA89" w14:textId="77777777" w:rsidR="00891664" w:rsidRPr="005D3A4A" w:rsidRDefault="00E84E1B" w:rsidP="00E84E1B">
            <w:p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5D3A4A">
              <w:rPr>
                <w:rFonts w:ascii="Arial" w:hAnsi="Arial" w:cs="Arial"/>
                <w:color w:val="010000"/>
                <w:sz w:val="20"/>
              </w:rPr>
              <w:t>Profit after tax</w:t>
            </w:r>
          </w:p>
        </w:tc>
        <w:tc>
          <w:tcPr>
            <w:tcW w:w="610" w:type="pct"/>
            <w:gridSpan w:val="2"/>
            <w:shd w:val="clear" w:color="auto" w:fill="auto"/>
            <w:tcMar>
              <w:top w:w="0" w:type="dxa"/>
              <w:bottom w:w="0" w:type="dxa"/>
            </w:tcMar>
            <w:vAlign w:val="center"/>
          </w:tcPr>
          <w:p w14:paraId="1768C87B"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442</w:t>
            </w:r>
          </w:p>
        </w:tc>
        <w:tc>
          <w:tcPr>
            <w:tcW w:w="578" w:type="pct"/>
            <w:gridSpan w:val="2"/>
            <w:shd w:val="clear" w:color="auto" w:fill="auto"/>
            <w:tcMar>
              <w:top w:w="0" w:type="dxa"/>
              <w:bottom w:w="0" w:type="dxa"/>
            </w:tcMar>
            <w:vAlign w:val="center"/>
          </w:tcPr>
          <w:p w14:paraId="29DFE0F0"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446</w:t>
            </w:r>
          </w:p>
        </w:tc>
        <w:tc>
          <w:tcPr>
            <w:tcW w:w="609" w:type="pct"/>
            <w:shd w:val="clear" w:color="auto" w:fill="auto"/>
            <w:tcMar>
              <w:top w:w="0" w:type="dxa"/>
              <w:bottom w:w="0" w:type="dxa"/>
            </w:tcMar>
            <w:vAlign w:val="center"/>
          </w:tcPr>
          <w:p w14:paraId="0CC53141"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458</w:t>
            </w:r>
          </w:p>
        </w:tc>
        <w:tc>
          <w:tcPr>
            <w:tcW w:w="547" w:type="pct"/>
            <w:shd w:val="clear" w:color="auto" w:fill="auto"/>
            <w:tcMar>
              <w:top w:w="0" w:type="dxa"/>
              <w:bottom w:w="0" w:type="dxa"/>
            </w:tcMar>
            <w:vAlign w:val="center"/>
          </w:tcPr>
          <w:p w14:paraId="03FF4AD5"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460</w:t>
            </w:r>
          </w:p>
        </w:tc>
        <w:tc>
          <w:tcPr>
            <w:tcW w:w="625" w:type="pct"/>
            <w:shd w:val="clear" w:color="auto" w:fill="auto"/>
            <w:tcMar>
              <w:top w:w="0" w:type="dxa"/>
              <w:bottom w:w="0" w:type="dxa"/>
            </w:tcMar>
            <w:vAlign w:val="center"/>
          </w:tcPr>
          <w:p w14:paraId="73E6740A"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467</w:t>
            </w:r>
          </w:p>
        </w:tc>
      </w:tr>
      <w:tr w:rsidR="00891664" w:rsidRPr="005D3A4A" w14:paraId="726ACE21" w14:textId="77777777" w:rsidTr="00E84E1B">
        <w:trPr>
          <w:jc w:val="center"/>
        </w:trPr>
        <w:tc>
          <w:tcPr>
            <w:tcW w:w="467" w:type="pct"/>
            <w:shd w:val="clear" w:color="auto" w:fill="auto"/>
            <w:tcMar>
              <w:top w:w="0" w:type="dxa"/>
              <w:bottom w:w="0" w:type="dxa"/>
            </w:tcMar>
            <w:vAlign w:val="center"/>
          </w:tcPr>
          <w:p w14:paraId="444DAC98" w14:textId="77777777" w:rsidR="00891664" w:rsidRPr="005D3A4A" w:rsidRDefault="00E84E1B" w:rsidP="00E84E1B">
            <w:pPr>
              <w:pBdr>
                <w:top w:val="nil"/>
                <w:left w:val="nil"/>
                <w:bottom w:val="nil"/>
                <w:right w:val="nil"/>
                <w:between w:val="nil"/>
              </w:pBdr>
              <w:tabs>
                <w:tab w:val="left" w:pos="567"/>
              </w:tabs>
              <w:spacing w:after="120" w:line="360" w:lineRule="auto"/>
              <w:jc w:val="center"/>
              <w:rPr>
                <w:rFonts w:ascii="Arial" w:eastAsia="Arial" w:hAnsi="Arial" w:cs="Arial"/>
                <w:color w:val="010000"/>
                <w:sz w:val="20"/>
                <w:szCs w:val="20"/>
              </w:rPr>
            </w:pPr>
            <w:r w:rsidRPr="005D3A4A">
              <w:rPr>
                <w:rFonts w:ascii="Arial" w:hAnsi="Arial" w:cs="Arial"/>
                <w:color w:val="010000"/>
                <w:sz w:val="20"/>
              </w:rPr>
              <w:t>3</w:t>
            </w:r>
          </w:p>
        </w:tc>
        <w:tc>
          <w:tcPr>
            <w:tcW w:w="1563" w:type="pct"/>
            <w:shd w:val="clear" w:color="auto" w:fill="auto"/>
            <w:tcMar>
              <w:top w:w="0" w:type="dxa"/>
              <w:bottom w:w="0" w:type="dxa"/>
            </w:tcMar>
            <w:vAlign w:val="center"/>
          </w:tcPr>
          <w:p w14:paraId="72E32526" w14:textId="033A0408" w:rsidR="00891664" w:rsidRPr="005D3A4A" w:rsidRDefault="001B141F" w:rsidP="00E84E1B">
            <w:p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5D3A4A">
              <w:rPr>
                <w:rFonts w:ascii="Arial" w:hAnsi="Arial" w:cs="Arial"/>
                <w:color w:val="010000"/>
                <w:sz w:val="20"/>
              </w:rPr>
              <w:t>Payable</w:t>
            </w:r>
            <w:r w:rsidR="00E84E1B" w:rsidRPr="005D3A4A">
              <w:rPr>
                <w:rFonts w:ascii="Arial" w:hAnsi="Arial" w:cs="Arial"/>
                <w:color w:val="010000"/>
                <w:sz w:val="20"/>
              </w:rPr>
              <w:t xml:space="preserve"> to</w:t>
            </w:r>
            <w:r w:rsidRPr="005D3A4A">
              <w:rPr>
                <w:rFonts w:ascii="Arial" w:hAnsi="Arial" w:cs="Arial"/>
                <w:color w:val="010000"/>
                <w:sz w:val="20"/>
              </w:rPr>
              <w:t xml:space="preserve"> the</w:t>
            </w:r>
            <w:r w:rsidR="00E84E1B" w:rsidRPr="005D3A4A">
              <w:rPr>
                <w:rFonts w:ascii="Arial" w:hAnsi="Arial" w:cs="Arial"/>
                <w:color w:val="010000"/>
                <w:sz w:val="20"/>
              </w:rPr>
              <w:t xml:space="preserve"> State budget</w:t>
            </w:r>
          </w:p>
        </w:tc>
        <w:tc>
          <w:tcPr>
            <w:tcW w:w="610" w:type="pct"/>
            <w:gridSpan w:val="2"/>
            <w:shd w:val="clear" w:color="auto" w:fill="auto"/>
            <w:tcMar>
              <w:top w:w="0" w:type="dxa"/>
              <w:bottom w:w="0" w:type="dxa"/>
            </w:tcMar>
            <w:vAlign w:val="center"/>
          </w:tcPr>
          <w:p w14:paraId="0F150C28"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76</w:t>
            </w:r>
          </w:p>
        </w:tc>
        <w:tc>
          <w:tcPr>
            <w:tcW w:w="578" w:type="pct"/>
            <w:gridSpan w:val="2"/>
            <w:shd w:val="clear" w:color="auto" w:fill="auto"/>
            <w:tcMar>
              <w:top w:w="0" w:type="dxa"/>
              <w:bottom w:w="0" w:type="dxa"/>
            </w:tcMar>
            <w:vAlign w:val="center"/>
          </w:tcPr>
          <w:p w14:paraId="35801CFE"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75</w:t>
            </w:r>
          </w:p>
        </w:tc>
        <w:tc>
          <w:tcPr>
            <w:tcW w:w="609" w:type="pct"/>
            <w:shd w:val="clear" w:color="auto" w:fill="auto"/>
            <w:tcMar>
              <w:top w:w="0" w:type="dxa"/>
              <w:bottom w:w="0" w:type="dxa"/>
            </w:tcMar>
            <w:vAlign w:val="center"/>
          </w:tcPr>
          <w:p w14:paraId="0EE51A89"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69</w:t>
            </w:r>
          </w:p>
        </w:tc>
        <w:tc>
          <w:tcPr>
            <w:tcW w:w="547" w:type="pct"/>
            <w:shd w:val="clear" w:color="auto" w:fill="auto"/>
            <w:tcMar>
              <w:top w:w="0" w:type="dxa"/>
              <w:bottom w:w="0" w:type="dxa"/>
            </w:tcMar>
            <w:vAlign w:val="center"/>
          </w:tcPr>
          <w:p w14:paraId="0637C095"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72</w:t>
            </w:r>
          </w:p>
        </w:tc>
        <w:tc>
          <w:tcPr>
            <w:tcW w:w="625" w:type="pct"/>
            <w:shd w:val="clear" w:color="auto" w:fill="auto"/>
            <w:tcMar>
              <w:top w:w="0" w:type="dxa"/>
              <w:bottom w:w="0" w:type="dxa"/>
            </w:tcMar>
            <w:vAlign w:val="center"/>
          </w:tcPr>
          <w:p w14:paraId="23E3BA32"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76</w:t>
            </w:r>
          </w:p>
        </w:tc>
      </w:tr>
      <w:tr w:rsidR="00891664" w:rsidRPr="005D3A4A" w14:paraId="2E81E92E" w14:textId="77777777" w:rsidTr="00E84E1B">
        <w:trPr>
          <w:jc w:val="center"/>
        </w:trPr>
        <w:tc>
          <w:tcPr>
            <w:tcW w:w="467" w:type="pct"/>
            <w:shd w:val="clear" w:color="auto" w:fill="auto"/>
            <w:tcMar>
              <w:top w:w="0" w:type="dxa"/>
              <w:bottom w:w="0" w:type="dxa"/>
            </w:tcMar>
            <w:vAlign w:val="center"/>
          </w:tcPr>
          <w:p w14:paraId="0672AA26" w14:textId="77777777" w:rsidR="00891664" w:rsidRPr="005D3A4A" w:rsidRDefault="00E84E1B" w:rsidP="00E84E1B">
            <w:pPr>
              <w:pBdr>
                <w:top w:val="nil"/>
                <w:left w:val="nil"/>
                <w:bottom w:val="nil"/>
                <w:right w:val="nil"/>
                <w:between w:val="nil"/>
              </w:pBdr>
              <w:tabs>
                <w:tab w:val="left" w:pos="567"/>
              </w:tabs>
              <w:spacing w:after="120" w:line="360" w:lineRule="auto"/>
              <w:jc w:val="center"/>
              <w:rPr>
                <w:rFonts w:ascii="Arial" w:eastAsia="Arial" w:hAnsi="Arial" w:cs="Arial"/>
                <w:color w:val="010000"/>
                <w:sz w:val="20"/>
                <w:szCs w:val="20"/>
              </w:rPr>
            </w:pPr>
            <w:r w:rsidRPr="005D3A4A">
              <w:rPr>
                <w:rFonts w:ascii="Arial" w:hAnsi="Arial" w:cs="Arial"/>
                <w:color w:val="010000"/>
                <w:sz w:val="20"/>
              </w:rPr>
              <w:t>4</w:t>
            </w:r>
          </w:p>
        </w:tc>
        <w:tc>
          <w:tcPr>
            <w:tcW w:w="1563" w:type="pct"/>
            <w:shd w:val="clear" w:color="auto" w:fill="auto"/>
            <w:tcMar>
              <w:top w:w="0" w:type="dxa"/>
              <w:bottom w:w="0" w:type="dxa"/>
            </w:tcMar>
            <w:vAlign w:val="center"/>
          </w:tcPr>
          <w:p w14:paraId="77F6257B" w14:textId="600B8C98" w:rsidR="00891664" w:rsidRPr="005D3A4A" w:rsidRDefault="00E84E1B" w:rsidP="001B141F">
            <w:p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5D3A4A">
              <w:rPr>
                <w:rFonts w:ascii="Arial" w:hAnsi="Arial" w:cs="Arial"/>
                <w:color w:val="010000"/>
                <w:sz w:val="20"/>
              </w:rPr>
              <w:t>Profit after tax/</w:t>
            </w:r>
            <w:r w:rsidR="001B141F" w:rsidRPr="005D3A4A">
              <w:rPr>
                <w:rFonts w:ascii="Arial" w:hAnsi="Arial" w:cs="Arial"/>
                <w:color w:val="010000"/>
                <w:sz w:val="20"/>
              </w:rPr>
              <w:t>owners’ equity</w:t>
            </w:r>
          </w:p>
        </w:tc>
        <w:tc>
          <w:tcPr>
            <w:tcW w:w="610" w:type="pct"/>
            <w:gridSpan w:val="2"/>
            <w:shd w:val="clear" w:color="auto" w:fill="auto"/>
            <w:tcMar>
              <w:top w:w="0" w:type="dxa"/>
              <w:bottom w:w="0" w:type="dxa"/>
            </w:tcMar>
            <w:vAlign w:val="center"/>
          </w:tcPr>
          <w:p w14:paraId="3908C9EF"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11.56%</w:t>
            </w:r>
          </w:p>
        </w:tc>
        <w:tc>
          <w:tcPr>
            <w:tcW w:w="578" w:type="pct"/>
            <w:gridSpan w:val="2"/>
            <w:shd w:val="clear" w:color="auto" w:fill="auto"/>
            <w:tcMar>
              <w:top w:w="0" w:type="dxa"/>
              <w:bottom w:w="0" w:type="dxa"/>
            </w:tcMar>
            <w:vAlign w:val="center"/>
          </w:tcPr>
          <w:p w14:paraId="21379F2E"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11.60%</w:t>
            </w:r>
          </w:p>
        </w:tc>
        <w:tc>
          <w:tcPr>
            <w:tcW w:w="609" w:type="pct"/>
            <w:shd w:val="clear" w:color="auto" w:fill="auto"/>
            <w:tcMar>
              <w:top w:w="0" w:type="dxa"/>
              <w:bottom w:w="0" w:type="dxa"/>
            </w:tcMar>
            <w:vAlign w:val="center"/>
          </w:tcPr>
          <w:p w14:paraId="6DE27AE1"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11.82%</w:t>
            </w:r>
          </w:p>
        </w:tc>
        <w:tc>
          <w:tcPr>
            <w:tcW w:w="547" w:type="pct"/>
            <w:shd w:val="clear" w:color="auto" w:fill="auto"/>
            <w:tcMar>
              <w:top w:w="0" w:type="dxa"/>
              <w:bottom w:w="0" w:type="dxa"/>
            </w:tcMar>
            <w:vAlign w:val="center"/>
          </w:tcPr>
          <w:p w14:paraId="2490FB68"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11.85%</w:t>
            </w:r>
          </w:p>
        </w:tc>
        <w:tc>
          <w:tcPr>
            <w:tcW w:w="625" w:type="pct"/>
            <w:shd w:val="clear" w:color="auto" w:fill="auto"/>
            <w:tcMar>
              <w:top w:w="0" w:type="dxa"/>
              <w:bottom w:w="0" w:type="dxa"/>
            </w:tcMar>
            <w:vAlign w:val="center"/>
          </w:tcPr>
          <w:p w14:paraId="69098D62"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11.90%</w:t>
            </w:r>
          </w:p>
        </w:tc>
      </w:tr>
      <w:tr w:rsidR="00891664" w:rsidRPr="005D3A4A" w14:paraId="259A7AF8" w14:textId="77777777" w:rsidTr="00E84E1B">
        <w:trPr>
          <w:jc w:val="center"/>
        </w:trPr>
        <w:tc>
          <w:tcPr>
            <w:tcW w:w="467" w:type="pct"/>
            <w:shd w:val="clear" w:color="auto" w:fill="auto"/>
            <w:tcMar>
              <w:top w:w="0" w:type="dxa"/>
              <w:bottom w:w="0" w:type="dxa"/>
            </w:tcMar>
            <w:vAlign w:val="center"/>
          </w:tcPr>
          <w:p w14:paraId="48DB57DC" w14:textId="77777777" w:rsidR="00891664" w:rsidRPr="005D3A4A" w:rsidRDefault="00891664" w:rsidP="00E84E1B">
            <w:pPr>
              <w:tabs>
                <w:tab w:val="left" w:pos="567"/>
              </w:tabs>
              <w:spacing w:after="120" w:line="360" w:lineRule="auto"/>
              <w:jc w:val="center"/>
              <w:rPr>
                <w:rFonts w:ascii="Arial" w:eastAsia="Arial" w:hAnsi="Arial" w:cs="Arial"/>
                <w:color w:val="010000"/>
                <w:sz w:val="20"/>
                <w:szCs w:val="20"/>
              </w:rPr>
            </w:pPr>
          </w:p>
        </w:tc>
        <w:tc>
          <w:tcPr>
            <w:tcW w:w="1563" w:type="pct"/>
            <w:shd w:val="clear" w:color="auto" w:fill="auto"/>
            <w:tcMar>
              <w:top w:w="0" w:type="dxa"/>
              <w:bottom w:w="0" w:type="dxa"/>
            </w:tcMar>
            <w:vAlign w:val="center"/>
          </w:tcPr>
          <w:p w14:paraId="21C67E12" w14:textId="77777777" w:rsidR="00891664" w:rsidRPr="005D3A4A" w:rsidRDefault="00E84E1B" w:rsidP="00E84E1B">
            <w:p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5D3A4A">
              <w:rPr>
                <w:rFonts w:ascii="Arial" w:hAnsi="Arial" w:cs="Arial"/>
                <w:color w:val="010000"/>
                <w:sz w:val="20"/>
              </w:rPr>
              <w:t>Consolidated</w:t>
            </w:r>
          </w:p>
        </w:tc>
        <w:tc>
          <w:tcPr>
            <w:tcW w:w="610" w:type="pct"/>
            <w:gridSpan w:val="2"/>
            <w:shd w:val="clear" w:color="auto" w:fill="auto"/>
            <w:tcMar>
              <w:top w:w="0" w:type="dxa"/>
              <w:bottom w:w="0" w:type="dxa"/>
            </w:tcMar>
            <w:vAlign w:val="center"/>
          </w:tcPr>
          <w:p w14:paraId="56DF48A3" w14:textId="77777777" w:rsidR="00891664" w:rsidRPr="005D3A4A" w:rsidRDefault="00891664" w:rsidP="00E84E1B">
            <w:pPr>
              <w:tabs>
                <w:tab w:val="left" w:pos="567"/>
              </w:tabs>
              <w:spacing w:after="120" w:line="360" w:lineRule="auto"/>
              <w:jc w:val="right"/>
              <w:rPr>
                <w:rFonts w:ascii="Arial" w:eastAsia="Arial" w:hAnsi="Arial" w:cs="Arial"/>
                <w:color w:val="010000"/>
                <w:sz w:val="20"/>
                <w:szCs w:val="20"/>
              </w:rPr>
            </w:pPr>
          </w:p>
        </w:tc>
        <w:tc>
          <w:tcPr>
            <w:tcW w:w="578" w:type="pct"/>
            <w:gridSpan w:val="2"/>
            <w:shd w:val="clear" w:color="auto" w:fill="auto"/>
            <w:tcMar>
              <w:top w:w="0" w:type="dxa"/>
              <w:bottom w:w="0" w:type="dxa"/>
            </w:tcMar>
            <w:vAlign w:val="center"/>
          </w:tcPr>
          <w:p w14:paraId="4EF275B9" w14:textId="77777777" w:rsidR="00891664" w:rsidRPr="005D3A4A" w:rsidRDefault="00891664" w:rsidP="00E84E1B">
            <w:pPr>
              <w:tabs>
                <w:tab w:val="left" w:pos="567"/>
              </w:tabs>
              <w:spacing w:after="120" w:line="360" w:lineRule="auto"/>
              <w:jc w:val="right"/>
              <w:rPr>
                <w:rFonts w:ascii="Arial" w:eastAsia="Arial" w:hAnsi="Arial" w:cs="Arial"/>
                <w:color w:val="010000"/>
                <w:sz w:val="20"/>
                <w:szCs w:val="20"/>
              </w:rPr>
            </w:pPr>
          </w:p>
        </w:tc>
        <w:tc>
          <w:tcPr>
            <w:tcW w:w="609" w:type="pct"/>
            <w:shd w:val="clear" w:color="auto" w:fill="auto"/>
            <w:tcMar>
              <w:top w:w="0" w:type="dxa"/>
              <w:bottom w:w="0" w:type="dxa"/>
            </w:tcMar>
            <w:vAlign w:val="center"/>
          </w:tcPr>
          <w:p w14:paraId="469B123F" w14:textId="77777777" w:rsidR="00891664" w:rsidRPr="005D3A4A" w:rsidRDefault="00891664" w:rsidP="00E84E1B">
            <w:pPr>
              <w:tabs>
                <w:tab w:val="left" w:pos="567"/>
              </w:tabs>
              <w:spacing w:after="120" w:line="360" w:lineRule="auto"/>
              <w:jc w:val="right"/>
              <w:rPr>
                <w:rFonts w:ascii="Arial" w:eastAsia="Arial" w:hAnsi="Arial" w:cs="Arial"/>
                <w:color w:val="010000"/>
                <w:sz w:val="20"/>
                <w:szCs w:val="20"/>
              </w:rPr>
            </w:pPr>
          </w:p>
        </w:tc>
        <w:tc>
          <w:tcPr>
            <w:tcW w:w="547" w:type="pct"/>
            <w:shd w:val="clear" w:color="auto" w:fill="auto"/>
            <w:tcMar>
              <w:top w:w="0" w:type="dxa"/>
              <w:bottom w:w="0" w:type="dxa"/>
            </w:tcMar>
            <w:vAlign w:val="center"/>
          </w:tcPr>
          <w:p w14:paraId="4617E523" w14:textId="77777777" w:rsidR="00891664" w:rsidRPr="005D3A4A" w:rsidRDefault="00891664" w:rsidP="00E84E1B">
            <w:pPr>
              <w:tabs>
                <w:tab w:val="left" w:pos="567"/>
              </w:tabs>
              <w:spacing w:after="120" w:line="360" w:lineRule="auto"/>
              <w:jc w:val="right"/>
              <w:rPr>
                <w:rFonts w:ascii="Arial" w:eastAsia="Arial" w:hAnsi="Arial" w:cs="Arial"/>
                <w:color w:val="010000"/>
                <w:sz w:val="20"/>
                <w:szCs w:val="20"/>
              </w:rPr>
            </w:pPr>
          </w:p>
        </w:tc>
        <w:tc>
          <w:tcPr>
            <w:tcW w:w="625" w:type="pct"/>
            <w:shd w:val="clear" w:color="auto" w:fill="auto"/>
            <w:tcMar>
              <w:top w:w="0" w:type="dxa"/>
              <w:bottom w:w="0" w:type="dxa"/>
            </w:tcMar>
            <w:vAlign w:val="center"/>
          </w:tcPr>
          <w:p w14:paraId="1DBE38EC" w14:textId="77777777" w:rsidR="00891664" w:rsidRPr="005D3A4A" w:rsidRDefault="00891664" w:rsidP="00E84E1B">
            <w:pPr>
              <w:tabs>
                <w:tab w:val="left" w:pos="567"/>
              </w:tabs>
              <w:spacing w:after="120" w:line="360" w:lineRule="auto"/>
              <w:jc w:val="right"/>
              <w:rPr>
                <w:rFonts w:ascii="Arial" w:eastAsia="Arial" w:hAnsi="Arial" w:cs="Arial"/>
                <w:color w:val="010000"/>
                <w:sz w:val="20"/>
                <w:szCs w:val="20"/>
              </w:rPr>
            </w:pPr>
          </w:p>
        </w:tc>
      </w:tr>
      <w:tr w:rsidR="00891664" w:rsidRPr="005D3A4A" w14:paraId="61A52D09" w14:textId="77777777" w:rsidTr="00E84E1B">
        <w:trPr>
          <w:jc w:val="center"/>
        </w:trPr>
        <w:tc>
          <w:tcPr>
            <w:tcW w:w="467" w:type="pct"/>
            <w:shd w:val="clear" w:color="auto" w:fill="auto"/>
            <w:tcMar>
              <w:top w:w="0" w:type="dxa"/>
              <w:bottom w:w="0" w:type="dxa"/>
            </w:tcMar>
            <w:vAlign w:val="center"/>
          </w:tcPr>
          <w:p w14:paraId="326C4FA4" w14:textId="77777777" w:rsidR="00891664" w:rsidRPr="005D3A4A" w:rsidRDefault="00E84E1B" w:rsidP="00E84E1B">
            <w:pPr>
              <w:pBdr>
                <w:top w:val="nil"/>
                <w:left w:val="nil"/>
                <w:bottom w:val="nil"/>
                <w:right w:val="nil"/>
                <w:between w:val="nil"/>
              </w:pBdr>
              <w:tabs>
                <w:tab w:val="left" w:pos="567"/>
              </w:tabs>
              <w:spacing w:after="120" w:line="360" w:lineRule="auto"/>
              <w:jc w:val="center"/>
              <w:rPr>
                <w:rFonts w:ascii="Arial" w:eastAsia="Arial" w:hAnsi="Arial" w:cs="Arial"/>
                <w:color w:val="010000"/>
                <w:sz w:val="20"/>
                <w:szCs w:val="20"/>
              </w:rPr>
            </w:pPr>
            <w:r w:rsidRPr="005D3A4A">
              <w:rPr>
                <w:rFonts w:ascii="Arial" w:hAnsi="Arial" w:cs="Arial"/>
                <w:color w:val="010000"/>
                <w:sz w:val="20"/>
              </w:rPr>
              <w:t>1</w:t>
            </w:r>
          </w:p>
        </w:tc>
        <w:tc>
          <w:tcPr>
            <w:tcW w:w="1563" w:type="pct"/>
            <w:shd w:val="clear" w:color="auto" w:fill="auto"/>
            <w:tcMar>
              <w:top w:w="0" w:type="dxa"/>
              <w:bottom w:w="0" w:type="dxa"/>
            </w:tcMar>
            <w:vAlign w:val="center"/>
          </w:tcPr>
          <w:p w14:paraId="00380E5D" w14:textId="77777777" w:rsidR="00891664" w:rsidRPr="005D3A4A" w:rsidRDefault="00E84E1B" w:rsidP="00E84E1B">
            <w:p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5D3A4A">
              <w:rPr>
                <w:rFonts w:ascii="Arial" w:hAnsi="Arial" w:cs="Arial"/>
                <w:color w:val="010000"/>
                <w:sz w:val="20"/>
              </w:rPr>
              <w:t>Total revenue</w:t>
            </w:r>
          </w:p>
        </w:tc>
        <w:tc>
          <w:tcPr>
            <w:tcW w:w="610" w:type="pct"/>
            <w:gridSpan w:val="2"/>
            <w:shd w:val="clear" w:color="auto" w:fill="auto"/>
            <w:tcMar>
              <w:top w:w="0" w:type="dxa"/>
              <w:bottom w:w="0" w:type="dxa"/>
            </w:tcMar>
            <w:vAlign w:val="center"/>
          </w:tcPr>
          <w:p w14:paraId="018BB9B7"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4,770</w:t>
            </w:r>
          </w:p>
        </w:tc>
        <w:tc>
          <w:tcPr>
            <w:tcW w:w="578" w:type="pct"/>
            <w:gridSpan w:val="2"/>
            <w:shd w:val="clear" w:color="auto" w:fill="auto"/>
            <w:tcMar>
              <w:top w:w="0" w:type="dxa"/>
              <w:bottom w:w="0" w:type="dxa"/>
            </w:tcMar>
            <w:vAlign w:val="center"/>
          </w:tcPr>
          <w:p w14:paraId="6860503C"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5,516</w:t>
            </w:r>
          </w:p>
        </w:tc>
        <w:tc>
          <w:tcPr>
            <w:tcW w:w="609" w:type="pct"/>
            <w:shd w:val="clear" w:color="auto" w:fill="auto"/>
            <w:tcMar>
              <w:top w:w="0" w:type="dxa"/>
              <w:bottom w:w="0" w:type="dxa"/>
            </w:tcMar>
            <w:vAlign w:val="center"/>
          </w:tcPr>
          <w:p w14:paraId="51F30332"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5,944</w:t>
            </w:r>
          </w:p>
        </w:tc>
        <w:tc>
          <w:tcPr>
            <w:tcW w:w="547" w:type="pct"/>
            <w:shd w:val="clear" w:color="auto" w:fill="auto"/>
            <w:tcMar>
              <w:top w:w="0" w:type="dxa"/>
              <w:bottom w:w="0" w:type="dxa"/>
            </w:tcMar>
            <w:vAlign w:val="center"/>
          </w:tcPr>
          <w:p w14:paraId="72CE7BD0"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6,100</w:t>
            </w:r>
          </w:p>
        </w:tc>
        <w:tc>
          <w:tcPr>
            <w:tcW w:w="625" w:type="pct"/>
            <w:shd w:val="clear" w:color="auto" w:fill="auto"/>
            <w:tcMar>
              <w:top w:w="0" w:type="dxa"/>
              <w:bottom w:w="0" w:type="dxa"/>
            </w:tcMar>
            <w:vAlign w:val="center"/>
          </w:tcPr>
          <w:p w14:paraId="7670D4EB"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6,300</w:t>
            </w:r>
          </w:p>
        </w:tc>
      </w:tr>
      <w:tr w:rsidR="00891664" w:rsidRPr="005D3A4A" w14:paraId="18FDCC05" w14:textId="77777777" w:rsidTr="00E84E1B">
        <w:trPr>
          <w:jc w:val="center"/>
        </w:trPr>
        <w:tc>
          <w:tcPr>
            <w:tcW w:w="467" w:type="pct"/>
            <w:shd w:val="clear" w:color="auto" w:fill="auto"/>
            <w:tcMar>
              <w:top w:w="0" w:type="dxa"/>
              <w:bottom w:w="0" w:type="dxa"/>
            </w:tcMar>
            <w:vAlign w:val="center"/>
          </w:tcPr>
          <w:p w14:paraId="18BDA13E" w14:textId="77777777" w:rsidR="00891664" w:rsidRPr="005D3A4A" w:rsidRDefault="00E84E1B" w:rsidP="00E84E1B">
            <w:pPr>
              <w:pBdr>
                <w:top w:val="nil"/>
                <w:left w:val="nil"/>
                <w:bottom w:val="nil"/>
                <w:right w:val="nil"/>
                <w:between w:val="nil"/>
              </w:pBdr>
              <w:tabs>
                <w:tab w:val="left" w:pos="567"/>
              </w:tabs>
              <w:spacing w:after="120" w:line="360" w:lineRule="auto"/>
              <w:jc w:val="center"/>
              <w:rPr>
                <w:rFonts w:ascii="Arial" w:eastAsia="Arial" w:hAnsi="Arial" w:cs="Arial"/>
                <w:color w:val="010000"/>
                <w:sz w:val="20"/>
                <w:szCs w:val="20"/>
              </w:rPr>
            </w:pPr>
            <w:r w:rsidRPr="005D3A4A">
              <w:rPr>
                <w:rFonts w:ascii="Arial" w:hAnsi="Arial" w:cs="Arial"/>
                <w:color w:val="010000"/>
                <w:sz w:val="20"/>
              </w:rPr>
              <w:t>2</w:t>
            </w:r>
          </w:p>
        </w:tc>
        <w:tc>
          <w:tcPr>
            <w:tcW w:w="1563" w:type="pct"/>
            <w:shd w:val="clear" w:color="auto" w:fill="auto"/>
            <w:tcMar>
              <w:top w:w="0" w:type="dxa"/>
              <w:bottom w:w="0" w:type="dxa"/>
            </w:tcMar>
            <w:vAlign w:val="center"/>
          </w:tcPr>
          <w:p w14:paraId="3DDF7B60" w14:textId="77777777" w:rsidR="00891664" w:rsidRPr="005D3A4A" w:rsidRDefault="00E84E1B" w:rsidP="00E84E1B">
            <w:p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5D3A4A">
              <w:rPr>
                <w:rFonts w:ascii="Arial" w:hAnsi="Arial" w:cs="Arial"/>
                <w:color w:val="010000"/>
                <w:sz w:val="20"/>
              </w:rPr>
              <w:t>Profit after tax</w:t>
            </w:r>
          </w:p>
        </w:tc>
        <w:tc>
          <w:tcPr>
            <w:tcW w:w="610" w:type="pct"/>
            <w:gridSpan w:val="2"/>
            <w:shd w:val="clear" w:color="auto" w:fill="auto"/>
            <w:tcMar>
              <w:top w:w="0" w:type="dxa"/>
              <w:bottom w:w="0" w:type="dxa"/>
            </w:tcMar>
            <w:vAlign w:val="center"/>
          </w:tcPr>
          <w:p w14:paraId="418CE007"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1,012</w:t>
            </w:r>
          </w:p>
        </w:tc>
        <w:tc>
          <w:tcPr>
            <w:tcW w:w="578" w:type="pct"/>
            <w:gridSpan w:val="2"/>
            <w:shd w:val="clear" w:color="auto" w:fill="auto"/>
            <w:tcMar>
              <w:top w:w="0" w:type="dxa"/>
              <w:bottom w:w="0" w:type="dxa"/>
            </w:tcMar>
            <w:vAlign w:val="center"/>
          </w:tcPr>
          <w:p w14:paraId="547B3154"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1,067</w:t>
            </w:r>
          </w:p>
        </w:tc>
        <w:tc>
          <w:tcPr>
            <w:tcW w:w="609" w:type="pct"/>
            <w:shd w:val="clear" w:color="auto" w:fill="auto"/>
            <w:tcMar>
              <w:top w:w="0" w:type="dxa"/>
              <w:bottom w:w="0" w:type="dxa"/>
            </w:tcMar>
            <w:vAlign w:val="center"/>
          </w:tcPr>
          <w:p w14:paraId="1520339E"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1,083</w:t>
            </w:r>
          </w:p>
        </w:tc>
        <w:tc>
          <w:tcPr>
            <w:tcW w:w="547" w:type="pct"/>
            <w:shd w:val="clear" w:color="auto" w:fill="auto"/>
            <w:tcMar>
              <w:top w:w="0" w:type="dxa"/>
              <w:bottom w:w="0" w:type="dxa"/>
            </w:tcMar>
            <w:vAlign w:val="center"/>
          </w:tcPr>
          <w:p w14:paraId="0F68EE8C"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1,100</w:t>
            </w:r>
          </w:p>
        </w:tc>
        <w:tc>
          <w:tcPr>
            <w:tcW w:w="625" w:type="pct"/>
            <w:shd w:val="clear" w:color="auto" w:fill="auto"/>
            <w:tcMar>
              <w:top w:w="0" w:type="dxa"/>
              <w:bottom w:w="0" w:type="dxa"/>
            </w:tcMar>
            <w:vAlign w:val="center"/>
          </w:tcPr>
          <w:p w14:paraId="47942289"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1,150</w:t>
            </w:r>
          </w:p>
        </w:tc>
      </w:tr>
      <w:tr w:rsidR="00891664" w:rsidRPr="005D3A4A" w14:paraId="309DF742" w14:textId="77777777" w:rsidTr="00E84E1B">
        <w:trPr>
          <w:jc w:val="center"/>
        </w:trPr>
        <w:tc>
          <w:tcPr>
            <w:tcW w:w="467" w:type="pct"/>
            <w:shd w:val="clear" w:color="auto" w:fill="auto"/>
            <w:tcMar>
              <w:top w:w="0" w:type="dxa"/>
              <w:bottom w:w="0" w:type="dxa"/>
            </w:tcMar>
            <w:vAlign w:val="center"/>
          </w:tcPr>
          <w:p w14:paraId="5B88A505" w14:textId="77777777" w:rsidR="00891664" w:rsidRPr="005D3A4A" w:rsidRDefault="00E84E1B" w:rsidP="00E84E1B">
            <w:pPr>
              <w:pBdr>
                <w:top w:val="nil"/>
                <w:left w:val="nil"/>
                <w:bottom w:val="nil"/>
                <w:right w:val="nil"/>
                <w:between w:val="nil"/>
              </w:pBdr>
              <w:tabs>
                <w:tab w:val="left" w:pos="567"/>
              </w:tabs>
              <w:spacing w:after="120" w:line="360" w:lineRule="auto"/>
              <w:jc w:val="center"/>
              <w:rPr>
                <w:rFonts w:ascii="Arial" w:eastAsia="Arial" w:hAnsi="Arial" w:cs="Arial"/>
                <w:color w:val="010000"/>
                <w:sz w:val="20"/>
                <w:szCs w:val="20"/>
              </w:rPr>
            </w:pPr>
            <w:r w:rsidRPr="005D3A4A">
              <w:rPr>
                <w:rFonts w:ascii="Arial" w:hAnsi="Arial" w:cs="Arial"/>
                <w:color w:val="010000"/>
                <w:sz w:val="20"/>
              </w:rPr>
              <w:t>3</w:t>
            </w:r>
          </w:p>
        </w:tc>
        <w:tc>
          <w:tcPr>
            <w:tcW w:w="1563" w:type="pct"/>
            <w:shd w:val="clear" w:color="auto" w:fill="auto"/>
            <w:tcMar>
              <w:top w:w="0" w:type="dxa"/>
              <w:bottom w:w="0" w:type="dxa"/>
            </w:tcMar>
            <w:vAlign w:val="center"/>
          </w:tcPr>
          <w:p w14:paraId="242F9C6A" w14:textId="48E271E5" w:rsidR="00891664" w:rsidRPr="005D3A4A" w:rsidRDefault="001B141F" w:rsidP="00E84E1B">
            <w:p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5D3A4A">
              <w:rPr>
                <w:rFonts w:ascii="Arial" w:hAnsi="Arial" w:cs="Arial"/>
                <w:color w:val="010000"/>
                <w:sz w:val="20"/>
              </w:rPr>
              <w:t>Payable to the State budget</w:t>
            </w:r>
          </w:p>
        </w:tc>
        <w:tc>
          <w:tcPr>
            <w:tcW w:w="604" w:type="pct"/>
            <w:shd w:val="clear" w:color="auto" w:fill="auto"/>
            <w:tcMar>
              <w:top w:w="0" w:type="dxa"/>
              <w:bottom w:w="0" w:type="dxa"/>
            </w:tcMar>
            <w:vAlign w:val="center"/>
          </w:tcPr>
          <w:p w14:paraId="5190620D"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557</w:t>
            </w:r>
          </w:p>
        </w:tc>
        <w:tc>
          <w:tcPr>
            <w:tcW w:w="578" w:type="pct"/>
            <w:gridSpan w:val="2"/>
            <w:shd w:val="clear" w:color="auto" w:fill="auto"/>
            <w:tcMar>
              <w:top w:w="0" w:type="dxa"/>
              <w:bottom w:w="0" w:type="dxa"/>
            </w:tcMar>
            <w:vAlign w:val="center"/>
          </w:tcPr>
          <w:p w14:paraId="2B0E7ADE"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572</w:t>
            </w:r>
          </w:p>
        </w:tc>
        <w:tc>
          <w:tcPr>
            <w:tcW w:w="615" w:type="pct"/>
            <w:gridSpan w:val="2"/>
            <w:shd w:val="clear" w:color="auto" w:fill="auto"/>
            <w:tcMar>
              <w:top w:w="0" w:type="dxa"/>
              <w:bottom w:w="0" w:type="dxa"/>
            </w:tcMar>
            <w:vAlign w:val="center"/>
          </w:tcPr>
          <w:p w14:paraId="658C70EF"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619</w:t>
            </w:r>
          </w:p>
        </w:tc>
        <w:tc>
          <w:tcPr>
            <w:tcW w:w="547" w:type="pct"/>
            <w:shd w:val="clear" w:color="auto" w:fill="auto"/>
            <w:tcMar>
              <w:top w:w="0" w:type="dxa"/>
              <w:bottom w:w="0" w:type="dxa"/>
            </w:tcMar>
            <w:vAlign w:val="center"/>
          </w:tcPr>
          <w:p w14:paraId="57D57C4E"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650</w:t>
            </w:r>
          </w:p>
        </w:tc>
        <w:tc>
          <w:tcPr>
            <w:tcW w:w="625" w:type="pct"/>
            <w:shd w:val="clear" w:color="auto" w:fill="auto"/>
            <w:tcMar>
              <w:top w:w="0" w:type="dxa"/>
              <w:bottom w:w="0" w:type="dxa"/>
            </w:tcMar>
            <w:vAlign w:val="center"/>
          </w:tcPr>
          <w:p w14:paraId="340EA35D"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680</w:t>
            </w:r>
          </w:p>
        </w:tc>
      </w:tr>
      <w:tr w:rsidR="00891664" w:rsidRPr="005D3A4A" w14:paraId="0433F453" w14:textId="77777777" w:rsidTr="00E84E1B">
        <w:trPr>
          <w:jc w:val="center"/>
        </w:trPr>
        <w:tc>
          <w:tcPr>
            <w:tcW w:w="467" w:type="pct"/>
            <w:shd w:val="clear" w:color="auto" w:fill="auto"/>
            <w:tcMar>
              <w:top w:w="0" w:type="dxa"/>
              <w:bottom w:w="0" w:type="dxa"/>
            </w:tcMar>
            <w:vAlign w:val="center"/>
          </w:tcPr>
          <w:p w14:paraId="37237BF7" w14:textId="77777777" w:rsidR="00891664" w:rsidRPr="005D3A4A" w:rsidRDefault="00E84E1B" w:rsidP="00E84E1B">
            <w:pPr>
              <w:pBdr>
                <w:top w:val="nil"/>
                <w:left w:val="nil"/>
                <w:bottom w:val="nil"/>
                <w:right w:val="nil"/>
                <w:between w:val="nil"/>
              </w:pBdr>
              <w:tabs>
                <w:tab w:val="left" w:pos="567"/>
              </w:tabs>
              <w:spacing w:after="120" w:line="360" w:lineRule="auto"/>
              <w:jc w:val="center"/>
              <w:rPr>
                <w:rFonts w:ascii="Arial" w:eastAsia="Arial" w:hAnsi="Arial" w:cs="Arial"/>
                <w:color w:val="010000"/>
                <w:sz w:val="20"/>
                <w:szCs w:val="20"/>
              </w:rPr>
            </w:pPr>
            <w:r w:rsidRPr="005D3A4A">
              <w:rPr>
                <w:rFonts w:ascii="Arial" w:hAnsi="Arial" w:cs="Arial"/>
                <w:color w:val="010000"/>
                <w:sz w:val="20"/>
              </w:rPr>
              <w:t>4</w:t>
            </w:r>
          </w:p>
        </w:tc>
        <w:tc>
          <w:tcPr>
            <w:tcW w:w="1563" w:type="pct"/>
            <w:shd w:val="clear" w:color="auto" w:fill="auto"/>
            <w:tcMar>
              <w:top w:w="0" w:type="dxa"/>
              <w:bottom w:w="0" w:type="dxa"/>
            </w:tcMar>
            <w:vAlign w:val="center"/>
          </w:tcPr>
          <w:p w14:paraId="6757762A" w14:textId="32EB404A" w:rsidR="00891664" w:rsidRPr="005D3A4A" w:rsidRDefault="00E84E1B" w:rsidP="00E84E1B">
            <w:p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5D3A4A">
              <w:rPr>
                <w:rFonts w:ascii="Arial" w:hAnsi="Arial" w:cs="Arial"/>
                <w:color w:val="010000"/>
                <w:sz w:val="20"/>
              </w:rPr>
              <w:t>Profit after tax/</w:t>
            </w:r>
            <w:r w:rsidR="001B141F" w:rsidRPr="005D3A4A">
              <w:rPr>
                <w:rFonts w:ascii="Arial" w:hAnsi="Arial" w:cs="Arial"/>
                <w:color w:val="010000"/>
                <w:sz w:val="20"/>
              </w:rPr>
              <w:t>owners’ equity</w:t>
            </w:r>
          </w:p>
        </w:tc>
        <w:tc>
          <w:tcPr>
            <w:tcW w:w="604" w:type="pct"/>
            <w:shd w:val="clear" w:color="auto" w:fill="auto"/>
            <w:tcMar>
              <w:top w:w="0" w:type="dxa"/>
              <w:bottom w:w="0" w:type="dxa"/>
            </w:tcMar>
            <w:vAlign w:val="center"/>
          </w:tcPr>
          <w:p w14:paraId="215D1562"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13.73%</w:t>
            </w:r>
          </w:p>
        </w:tc>
        <w:tc>
          <w:tcPr>
            <w:tcW w:w="578" w:type="pct"/>
            <w:gridSpan w:val="2"/>
            <w:shd w:val="clear" w:color="auto" w:fill="auto"/>
            <w:tcMar>
              <w:top w:w="0" w:type="dxa"/>
              <w:bottom w:w="0" w:type="dxa"/>
            </w:tcMar>
            <w:vAlign w:val="center"/>
          </w:tcPr>
          <w:p w14:paraId="0B0A0834"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14.16%</w:t>
            </w:r>
          </w:p>
        </w:tc>
        <w:tc>
          <w:tcPr>
            <w:tcW w:w="615" w:type="pct"/>
            <w:gridSpan w:val="2"/>
            <w:shd w:val="clear" w:color="auto" w:fill="auto"/>
            <w:tcMar>
              <w:top w:w="0" w:type="dxa"/>
              <w:bottom w:w="0" w:type="dxa"/>
            </w:tcMar>
            <w:vAlign w:val="center"/>
          </w:tcPr>
          <w:p w14:paraId="1AE95DD4"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12.57%</w:t>
            </w:r>
          </w:p>
        </w:tc>
        <w:tc>
          <w:tcPr>
            <w:tcW w:w="547" w:type="pct"/>
            <w:shd w:val="clear" w:color="auto" w:fill="auto"/>
            <w:tcMar>
              <w:top w:w="0" w:type="dxa"/>
              <w:bottom w:w="0" w:type="dxa"/>
            </w:tcMar>
            <w:vAlign w:val="center"/>
          </w:tcPr>
          <w:p w14:paraId="05C14491"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12.75%</w:t>
            </w:r>
          </w:p>
        </w:tc>
        <w:tc>
          <w:tcPr>
            <w:tcW w:w="625" w:type="pct"/>
            <w:shd w:val="clear" w:color="auto" w:fill="auto"/>
            <w:tcMar>
              <w:top w:w="0" w:type="dxa"/>
              <w:bottom w:w="0" w:type="dxa"/>
            </w:tcMar>
            <w:vAlign w:val="center"/>
          </w:tcPr>
          <w:p w14:paraId="62702B24"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12.90%</w:t>
            </w:r>
          </w:p>
        </w:tc>
      </w:tr>
    </w:tbl>
    <w:p w14:paraId="62F6F6B1" w14:textId="7B9CF335" w:rsidR="00891664" w:rsidRPr="005D3A4A" w:rsidRDefault="001B141F" w:rsidP="00E84E1B">
      <w:pPr>
        <w:numPr>
          <w:ilvl w:val="0"/>
          <w:numId w:val="2"/>
        </w:numPr>
        <w:pBdr>
          <w:top w:val="nil"/>
          <w:left w:val="nil"/>
          <w:bottom w:val="nil"/>
          <w:right w:val="nil"/>
          <w:between w:val="nil"/>
        </w:pBdr>
        <w:tabs>
          <w:tab w:val="left" w:pos="567"/>
        </w:tabs>
        <w:spacing w:after="120" w:line="360" w:lineRule="auto"/>
        <w:ind w:left="0" w:firstLine="0"/>
        <w:rPr>
          <w:rFonts w:ascii="Arial" w:eastAsia="Arial" w:hAnsi="Arial" w:cs="Arial"/>
          <w:color w:val="010000"/>
          <w:sz w:val="20"/>
          <w:szCs w:val="20"/>
        </w:rPr>
      </w:pPr>
      <w:r w:rsidRPr="005D3A4A">
        <w:rPr>
          <w:rFonts w:ascii="Arial" w:hAnsi="Arial" w:cs="Arial"/>
          <w:color w:val="010000"/>
          <w:sz w:val="20"/>
        </w:rPr>
        <w:t>5-year investment and development plan</w:t>
      </w:r>
      <w:r w:rsidR="00E84E1B" w:rsidRPr="005D3A4A">
        <w:rPr>
          <w:rFonts w:ascii="Arial" w:hAnsi="Arial" w:cs="Arial"/>
          <w:color w:val="010000"/>
          <w:sz w:val="20"/>
        </w:rPr>
        <w:t xml:space="preserve"> for the 2021-2025</w:t>
      </w:r>
      <w:r w:rsidRPr="005D3A4A">
        <w:rPr>
          <w:rFonts w:ascii="Arial" w:hAnsi="Arial" w:cs="Arial"/>
          <w:color w:val="010000"/>
          <w:sz w:val="20"/>
        </w:rPr>
        <w:t xml:space="preserve"> period:</w:t>
      </w:r>
    </w:p>
    <w:p w14:paraId="3762D5D1" w14:textId="77777777" w:rsidR="00891664" w:rsidRPr="005D3A4A" w:rsidRDefault="00E84E1B" w:rsidP="00E84E1B">
      <w:pPr>
        <w:numPr>
          <w:ilvl w:val="0"/>
          <w:numId w:val="1"/>
        </w:numPr>
        <w:pBdr>
          <w:top w:val="nil"/>
          <w:left w:val="nil"/>
          <w:bottom w:val="nil"/>
          <w:right w:val="nil"/>
          <w:between w:val="nil"/>
        </w:pBdr>
        <w:tabs>
          <w:tab w:val="left" w:pos="567"/>
          <w:tab w:val="left" w:pos="1273"/>
        </w:tabs>
        <w:spacing w:after="120" w:line="360" w:lineRule="auto"/>
        <w:rPr>
          <w:rFonts w:ascii="Arial" w:eastAsia="Arial" w:hAnsi="Arial" w:cs="Arial"/>
          <w:color w:val="010000"/>
          <w:sz w:val="20"/>
          <w:szCs w:val="20"/>
        </w:rPr>
      </w:pPr>
      <w:r w:rsidRPr="005D3A4A">
        <w:rPr>
          <w:rFonts w:ascii="Arial" w:hAnsi="Arial" w:cs="Arial"/>
          <w:color w:val="010000"/>
          <w:sz w:val="20"/>
        </w:rPr>
        <w:t>Increase internal linking to optimize the advantages of each unit in the system, effectively exploit existing land funds, increase competitiveness and minimize risks in searching and developing projects new;</w:t>
      </w:r>
    </w:p>
    <w:p w14:paraId="65B193E2" w14:textId="5A97CC37" w:rsidR="00891664" w:rsidRPr="005D3A4A" w:rsidRDefault="00E84E1B" w:rsidP="00E84E1B">
      <w:pPr>
        <w:numPr>
          <w:ilvl w:val="0"/>
          <w:numId w:val="1"/>
        </w:numPr>
        <w:pBdr>
          <w:top w:val="nil"/>
          <w:left w:val="nil"/>
          <w:bottom w:val="nil"/>
          <w:right w:val="nil"/>
          <w:between w:val="nil"/>
        </w:pBdr>
        <w:tabs>
          <w:tab w:val="left" w:pos="567"/>
          <w:tab w:val="left" w:pos="1276"/>
        </w:tabs>
        <w:spacing w:after="120" w:line="360" w:lineRule="auto"/>
        <w:rPr>
          <w:rFonts w:ascii="Arial" w:eastAsia="Arial" w:hAnsi="Arial" w:cs="Arial"/>
          <w:color w:val="010000"/>
          <w:sz w:val="20"/>
          <w:szCs w:val="20"/>
        </w:rPr>
      </w:pPr>
      <w:r w:rsidRPr="005D3A4A">
        <w:rPr>
          <w:rFonts w:ascii="Arial" w:hAnsi="Arial" w:cs="Arial"/>
          <w:color w:val="010000"/>
          <w:sz w:val="20"/>
        </w:rPr>
        <w:t xml:space="preserve">Participate in proposals, participate as investors, participate in land auctions, bidding to select investors... to develop new projects inside and outside the province in accordance with capacity, experience, and business </w:t>
      </w:r>
      <w:r w:rsidR="001B141F" w:rsidRPr="005D3A4A">
        <w:rPr>
          <w:rFonts w:ascii="Arial" w:hAnsi="Arial" w:cs="Arial"/>
          <w:color w:val="010000"/>
          <w:sz w:val="20"/>
        </w:rPr>
        <w:t xml:space="preserve">lines </w:t>
      </w:r>
      <w:r w:rsidRPr="005D3A4A">
        <w:rPr>
          <w:rFonts w:ascii="Arial" w:hAnsi="Arial" w:cs="Arial"/>
          <w:color w:val="010000"/>
          <w:sz w:val="20"/>
        </w:rPr>
        <w:t>of the Corporation;</w:t>
      </w:r>
    </w:p>
    <w:p w14:paraId="68832096" w14:textId="77777777" w:rsidR="00891664" w:rsidRPr="005D3A4A" w:rsidRDefault="00E84E1B" w:rsidP="00E84E1B">
      <w:pPr>
        <w:numPr>
          <w:ilvl w:val="0"/>
          <w:numId w:val="1"/>
        </w:numPr>
        <w:pBdr>
          <w:top w:val="nil"/>
          <w:left w:val="nil"/>
          <w:bottom w:val="nil"/>
          <w:right w:val="nil"/>
          <w:between w:val="nil"/>
        </w:pBdr>
        <w:tabs>
          <w:tab w:val="left" w:pos="567"/>
          <w:tab w:val="left" w:pos="1304"/>
        </w:tabs>
        <w:spacing w:after="120" w:line="360" w:lineRule="auto"/>
        <w:rPr>
          <w:rFonts w:ascii="Arial" w:eastAsia="Arial" w:hAnsi="Arial" w:cs="Arial"/>
          <w:color w:val="010000"/>
          <w:sz w:val="20"/>
          <w:szCs w:val="20"/>
        </w:rPr>
      </w:pPr>
      <w:r w:rsidRPr="005D3A4A">
        <w:rPr>
          <w:rFonts w:ascii="Arial" w:hAnsi="Arial" w:cs="Arial"/>
          <w:color w:val="010000"/>
          <w:sz w:val="20"/>
        </w:rPr>
        <w:t>Specific goals:</w:t>
      </w:r>
    </w:p>
    <w:p w14:paraId="09861262" w14:textId="77777777" w:rsidR="00891664" w:rsidRPr="005D3A4A" w:rsidRDefault="00E84E1B" w:rsidP="00E84E1B">
      <w:pPr>
        <w:numPr>
          <w:ilvl w:val="0"/>
          <w:numId w:val="4"/>
        </w:numPr>
        <w:pBdr>
          <w:top w:val="nil"/>
          <w:left w:val="nil"/>
          <w:bottom w:val="nil"/>
          <w:right w:val="nil"/>
          <w:between w:val="nil"/>
        </w:pBdr>
        <w:tabs>
          <w:tab w:val="left" w:pos="567"/>
          <w:tab w:val="left" w:pos="968"/>
        </w:tabs>
        <w:spacing w:after="120" w:line="360" w:lineRule="auto"/>
        <w:rPr>
          <w:rFonts w:ascii="Arial" w:eastAsia="Arial" w:hAnsi="Arial" w:cs="Arial"/>
          <w:color w:val="010000"/>
          <w:sz w:val="20"/>
          <w:szCs w:val="20"/>
        </w:rPr>
      </w:pPr>
      <w:r w:rsidRPr="005D3A4A">
        <w:rPr>
          <w:rFonts w:ascii="Arial" w:hAnsi="Arial" w:cs="Arial"/>
          <w:color w:val="010000"/>
          <w:sz w:val="20"/>
        </w:rPr>
        <w:t>Develop at least 02 industrial parks inside and outside the province;</w:t>
      </w:r>
    </w:p>
    <w:p w14:paraId="777BDEB0" w14:textId="77777777" w:rsidR="00891664" w:rsidRPr="005D3A4A" w:rsidRDefault="00E84E1B" w:rsidP="00E84E1B">
      <w:pPr>
        <w:numPr>
          <w:ilvl w:val="0"/>
          <w:numId w:val="4"/>
        </w:numPr>
        <w:pBdr>
          <w:top w:val="nil"/>
          <w:left w:val="nil"/>
          <w:bottom w:val="nil"/>
          <w:right w:val="nil"/>
          <w:between w:val="nil"/>
        </w:pBdr>
        <w:tabs>
          <w:tab w:val="left" w:pos="567"/>
          <w:tab w:val="left" w:pos="968"/>
        </w:tabs>
        <w:spacing w:after="120" w:line="360" w:lineRule="auto"/>
        <w:rPr>
          <w:rFonts w:ascii="Arial" w:eastAsia="Arial" w:hAnsi="Arial" w:cs="Arial"/>
          <w:color w:val="010000"/>
          <w:sz w:val="20"/>
          <w:szCs w:val="20"/>
        </w:rPr>
      </w:pPr>
      <w:r w:rsidRPr="005D3A4A">
        <w:rPr>
          <w:rFonts w:ascii="Arial" w:hAnsi="Arial" w:cs="Arial"/>
          <w:color w:val="010000"/>
          <w:sz w:val="20"/>
        </w:rPr>
        <w:t>Develop at least 02 residential areas;</w:t>
      </w:r>
    </w:p>
    <w:p w14:paraId="661B02C4" w14:textId="77777777" w:rsidR="00891664" w:rsidRPr="005D3A4A" w:rsidRDefault="00E84E1B" w:rsidP="00E84E1B">
      <w:pPr>
        <w:numPr>
          <w:ilvl w:val="0"/>
          <w:numId w:val="4"/>
        </w:numPr>
        <w:pBdr>
          <w:top w:val="nil"/>
          <w:left w:val="nil"/>
          <w:bottom w:val="nil"/>
          <w:right w:val="nil"/>
          <w:between w:val="nil"/>
        </w:pBdr>
        <w:tabs>
          <w:tab w:val="left" w:pos="567"/>
          <w:tab w:val="left" w:pos="978"/>
        </w:tabs>
        <w:spacing w:after="120" w:line="360" w:lineRule="auto"/>
        <w:rPr>
          <w:rFonts w:ascii="Arial" w:eastAsia="Arial" w:hAnsi="Arial" w:cs="Arial"/>
          <w:color w:val="010000"/>
          <w:sz w:val="20"/>
          <w:szCs w:val="20"/>
        </w:rPr>
      </w:pPr>
      <w:r w:rsidRPr="005D3A4A">
        <w:rPr>
          <w:rFonts w:ascii="Arial" w:hAnsi="Arial" w:cs="Arial"/>
          <w:color w:val="010000"/>
          <w:sz w:val="20"/>
        </w:rPr>
        <w:t xml:space="preserve">Promote the advantages of the Corporation currently being the investor of Bien </w:t>
      </w:r>
      <w:proofErr w:type="spellStart"/>
      <w:r w:rsidRPr="005D3A4A">
        <w:rPr>
          <w:rFonts w:ascii="Arial" w:hAnsi="Arial" w:cs="Arial"/>
          <w:color w:val="010000"/>
          <w:sz w:val="20"/>
        </w:rPr>
        <w:t>Hoa</w:t>
      </w:r>
      <w:proofErr w:type="spellEnd"/>
      <w:r w:rsidRPr="005D3A4A">
        <w:rPr>
          <w:rFonts w:ascii="Arial" w:hAnsi="Arial" w:cs="Arial"/>
          <w:color w:val="010000"/>
          <w:sz w:val="20"/>
        </w:rPr>
        <w:t xml:space="preserve"> 1 Industrial Park to participate in the functional converting project of Bien </w:t>
      </w:r>
      <w:proofErr w:type="spellStart"/>
      <w:r w:rsidRPr="005D3A4A">
        <w:rPr>
          <w:rFonts w:ascii="Arial" w:hAnsi="Arial" w:cs="Arial"/>
          <w:color w:val="010000"/>
          <w:sz w:val="20"/>
        </w:rPr>
        <w:t>Hoa</w:t>
      </w:r>
      <w:proofErr w:type="spellEnd"/>
      <w:r w:rsidRPr="005D3A4A">
        <w:rPr>
          <w:rFonts w:ascii="Arial" w:hAnsi="Arial" w:cs="Arial"/>
          <w:color w:val="010000"/>
          <w:sz w:val="20"/>
        </w:rPr>
        <w:t xml:space="preserve"> 1 Industrial Park.</w:t>
      </w:r>
    </w:p>
    <w:p w14:paraId="35460AB8" w14:textId="77777777" w:rsidR="00891664" w:rsidRPr="005D3A4A" w:rsidRDefault="00E84E1B" w:rsidP="00E84E1B">
      <w:pPr>
        <w:numPr>
          <w:ilvl w:val="0"/>
          <w:numId w:val="1"/>
        </w:numPr>
        <w:pBdr>
          <w:top w:val="nil"/>
          <w:left w:val="nil"/>
          <w:bottom w:val="nil"/>
          <w:right w:val="nil"/>
          <w:between w:val="nil"/>
        </w:pBdr>
        <w:tabs>
          <w:tab w:val="left" w:pos="567"/>
          <w:tab w:val="left" w:pos="1264"/>
        </w:tabs>
        <w:spacing w:after="120" w:line="360" w:lineRule="auto"/>
        <w:rPr>
          <w:rFonts w:ascii="Arial" w:eastAsia="Arial" w:hAnsi="Arial" w:cs="Arial"/>
          <w:color w:val="010000"/>
          <w:sz w:val="20"/>
          <w:szCs w:val="20"/>
        </w:rPr>
      </w:pPr>
      <w:r w:rsidRPr="005D3A4A">
        <w:rPr>
          <w:rFonts w:ascii="Arial" w:hAnsi="Arial" w:cs="Arial"/>
          <w:color w:val="010000"/>
          <w:sz w:val="20"/>
        </w:rPr>
        <w:t>Investment value of the 5-year plan for the 2021-2025 period:</w:t>
      </w:r>
    </w:p>
    <w:p w14:paraId="5B1615CD" w14:textId="77777777" w:rsidR="00891664" w:rsidRPr="005D3A4A" w:rsidRDefault="00E84E1B" w:rsidP="00E84E1B">
      <w:p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5D3A4A">
        <w:rPr>
          <w:rFonts w:ascii="Arial" w:hAnsi="Arial" w:cs="Arial"/>
          <w:color w:val="010000"/>
          <w:sz w:val="20"/>
        </w:rPr>
        <w:t xml:space="preserve">Unit: Billion </w:t>
      </w:r>
      <w:proofErr w:type="spellStart"/>
      <w:r w:rsidRPr="005D3A4A">
        <w:rPr>
          <w:rFonts w:ascii="Arial" w:hAnsi="Arial" w:cs="Arial"/>
          <w:color w:val="010000"/>
          <w:sz w:val="20"/>
        </w:rPr>
        <w:t>VND</w:t>
      </w:r>
      <w:proofErr w:type="spellEnd"/>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40"/>
        <w:gridCol w:w="3005"/>
        <w:gridCol w:w="1046"/>
        <w:gridCol w:w="1050"/>
        <w:gridCol w:w="1053"/>
        <w:gridCol w:w="1057"/>
        <w:gridCol w:w="1068"/>
      </w:tblGrid>
      <w:tr w:rsidR="00891664" w:rsidRPr="005D3A4A" w14:paraId="303EC6A6" w14:textId="77777777" w:rsidTr="00E84E1B">
        <w:tc>
          <w:tcPr>
            <w:tcW w:w="410" w:type="pct"/>
            <w:shd w:val="clear" w:color="auto" w:fill="auto"/>
            <w:tcMar>
              <w:top w:w="0" w:type="dxa"/>
              <w:bottom w:w="0" w:type="dxa"/>
            </w:tcMar>
            <w:vAlign w:val="center"/>
          </w:tcPr>
          <w:p w14:paraId="794F34F5" w14:textId="77777777" w:rsidR="00891664" w:rsidRPr="005D3A4A" w:rsidRDefault="00E84E1B" w:rsidP="00E84E1B">
            <w:pPr>
              <w:pBdr>
                <w:top w:val="nil"/>
                <w:left w:val="nil"/>
                <w:bottom w:val="nil"/>
                <w:right w:val="nil"/>
                <w:between w:val="nil"/>
              </w:pBdr>
              <w:tabs>
                <w:tab w:val="left" w:pos="567"/>
              </w:tabs>
              <w:spacing w:after="120" w:line="360" w:lineRule="auto"/>
              <w:jc w:val="center"/>
              <w:rPr>
                <w:rFonts w:ascii="Arial" w:eastAsia="Arial" w:hAnsi="Arial" w:cs="Arial"/>
                <w:color w:val="010000"/>
                <w:sz w:val="20"/>
                <w:szCs w:val="20"/>
              </w:rPr>
            </w:pPr>
            <w:r w:rsidRPr="005D3A4A">
              <w:rPr>
                <w:rFonts w:ascii="Arial" w:hAnsi="Arial" w:cs="Arial"/>
                <w:color w:val="010000"/>
                <w:sz w:val="20"/>
              </w:rPr>
              <w:t>No.</w:t>
            </w:r>
          </w:p>
        </w:tc>
        <w:tc>
          <w:tcPr>
            <w:tcW w:w="1666" w:type="pct"/>
            <w:shd w:val="clear" w:color="auto" w:fill="auto"/>
            <w:tcMar>
              <w:top w:w="0" w:type="dxa"/>
              <w:bottom w:w="0" w:type="dxa"/>
            </w:tcMar>
            <w:vAlign w:val="center"/>
          </w:tcPr>
          <w:p w14:paraId="6EAF92E3" w14:textId="77777777" w:rsidR="00891664" w:rsidRPr="005D3A4A" w:rsidRDefault="00E84E1B" w:rsidP="00E84E1B">
            <w:pPr>
              <w:pBdr>
                <w:top w:val="nil"/>
                <w:left w:val="nil"/>
                <w:bottom w:val="nil"/>
                <w:right w:val="nil"/>
                <w:between w:val="nil"/>
              </w:pBdr>
              <w:tabs>
                <w:tab w:val="left" w:pos="567"/>
              </w:tabs>
              <w:spacing w:after="120" w:line="360" w:lineRule="auto"/>
              <w:jc w:val="center"/>
              <w:rPr>
                <w:rFonts w:ascii="Arial" w:eastAsia="Arial" w:hAnsi="Arial" w:cs="Arial"/>
                <w:color w:val="010000"/>
                <w:sz w:val="20"/>
                <w:szCs w:val="20"/>
              </w:rPr>
            </w:pPr>
            <w:r w:rsidRPr="005D3A4A">
              <w:rPr>
                <w:rFonts w:ascii="Arial" w:hAnsi="Arial" w:cs="Arial"/>
                <w:color w:val="010000"/>
                <w:sz w:val="20"/>
              </w:rPr>
              <w:t>Investment value</w:t>
            </w:r>
          </w:p>
        </w:tc>
        <w:tc>
          <w:tcPr>
            <w:tcW w:w="580" w:type="pct"/>
            <w:shd w:val="clear" w:color="auto" w:fill="auto"/>
            <w:tcMar>
              <w:top w:w="0" w:type="dxa"/>
              <w:bottom w:w="0" w:type="dxa"/>
            </w:tcMar>
            <w:vAlign w:val="center"/>
          </w:tcPr>
          <w:p w14:paraId="60A30047" w14:textId="77777777" w:rsidR="00891664" w:rsidRPr="005D3A4A" w:rsidRDefault="00E84E1B" w:rsidP="00E84E1B">
            <w:pPr>
              <w:pBdr>
                <w:top w:val="nil"/>
                <w:left w:val="nil"/>
                <w:bottom w:val="nil"/>
                <w:right w:val="nil"/>
                <w:between w:val="nil"/>
              </w:pBdr>
              <w:tabs>
                <w:tab w:val="left" w:pos="567"/>
              </w:tabs>
              <w:spacing w:after="120" w:line="360" w:lineRule="auto"/>
              <w:jc w:val="center"/>
              <w:rPr>
                <w:rFonts w:ascii="Arial" w:eastAsia="Arial" w:hAnsi="Arial" w:cs="Arial"/>
                <w:color w:val="010000"/>
                <w:sz w:val="20"/>
                <w:szCs w:val="20"/>
              </w:rPr>
            </w:pPr>
            <w:r w:rsidRPr="005D3A4A">
              <w:rPr>
                <w:rFonts w:ascii="Arial" w:hAnsi="Arial" w:cs="Arial"/>
                <w:color w:val="010000"/>
                <w:sz w:val="20"/>
              </w:rPr>
              <w:t>2021</w:t>
            </w:r>
          </w:p>
        </w:tc>
        <w:tc>
          <w:tcPr>
            <w:tcW w:w="582" w:type="pct"/>
            <w:shd w:val="clear" w:color="auto" w:fill="auto"/>
            <w:tcMar>
              <w:top w:w="0" w:type="dxa"/>
              <w:bottom w:w="0" w:type="dxa"/>
            </w:tcMar>
            <w:vAlign w:val="center"/>
          </w:tcPr>
          <w:p w14:paraId="684EA0B2" w14:textId="77777777" w:rsidR="00891664" w:rsidRPr="005D3A4A" w:rsidRDefault="00E84E1B" w:rsidP="00E84E1B">
            <w:pPr>
              <w:pBdr>
                <w:top w:val="nil"/>
                <w:left w:val="nil"/>
                <w:bottom w:val="nil"/>
                <w:right w:val="nil"/>
                <w:between w:val="nil"/>
              </w:pBdr>
              <w:tabs>
                <w:tab w:val="left" w:pos="567"/>
              </w:tabs>
              <w:spacing w:after="120" w:line="360" w:lineRule="auto"/>
              <w:jc w:val="center"/>
              <w:rPr>
                <w:rFonts w:ascii="Arial" w:eastAsia="Arial" w:hAnsi="Arial" w:cs="Arial"/>
                <w:color w:val="010000"/>
                <w:sz w:val="20"/>
                <w:szCs w:val="20"/>
              </w:rPr>
            </w:pPr>
            <w:r w:rsidRPr="005D3A4A">
              <w:rPr>
                <w:rFonts w:ascii="Arial" w:hAnsi="Arial" w:cs="Arial"/>
                <w:color w:val="010000"/>
                <w:sz w:val="20"/>
              </w:rPr>
              <w:t>2022</w:t>
            </w:r>
          </w:p>
        </w:tc>
        <w:tc>
          <w:tcPr>
            <w:tcW w:w="584" w:type="pct"/>
            <w:shd w:val="clear" w:color="auto" w:fill="auto"/>
            <w:tcMar>
              <w:top w:w="0" w:type="dxa"/>
              <w:bottom w:w="0" w:type="dxa"/>
            </w:tcMar>
            <w:vAlign w:val="center"/>
          </w:tcPr>
          <w:p w14:paraId="2B77C500" w14:textId="77777777" w:rsidR="00891664" w:rsidRPr="005D3A4A" w:rsidRDefault="00E84E1B" w:rsidP="00E84E1B">
            <w:pPr>
              <w:pBdr>
                <w:top w:val="nil"/>
                <w:left w:val="nil"/>
                <w:bottom w:val="nil"/>
                <w:right w:val="nil"/>
                <w:between w:val="nil"/>
              </w:pBdr>
              <w:tabs>
                <w:tab w:val="left" w:pos="567"/>
              </w:tabs>
              <w:spacing w:after="120" w:line="360" w:lineRule="auto"/>
              <w:jc w:val="center"/>
              <w:rPr>
                <w:rFonts w:ascii="Arial" w:eastAsia="Arial" w:hAnsi="Arial" w:cs="Arial"/>
                <w:color w:val="010000"/>
                <w:sz w:val="20"/>
                <w:szCs w:val="20"/>
              </w:rPr>
            </w:pPr>
            <w:r w:rsidRPr="005D3A4A">
              <w:rPr>
                <w:rFonts w:ascii="Arial" w:hAnsi="Arial" w:cs="Arial"/>
                <w:color w:val="010000"/>
                <w:sz w:val="20"/>
              </w:rPr>
              <w:t>2023</w:t>
            </w:r>
          </w:p>
        </w:tc>
        <w:tc>
          <w:tcPr>
            <w:tcW w:w="586" w:type="pct"/>
            <w:shd w:val="clear" w:color="auto" w:fill="auto"/>
            <w:tcMar>
              <w:top w:w="0" w:type="dxa"/>
              <w:bottom w:w="0" w:type="dxa"/>
            </w:tcMar>
            <w:vAlign w:val="center"/>
          </w:tcPr>
          <w:p w14:paraId="2CCD5FE7" w14:textId="77777777" w:rsidR="00891664" w:rsidRPr="005D3A4A" w:rsidRDefault="00E84E1B" w:rsidP="00E84E1B">
            <w:pPr>
              <w:pBdr>
                <w:top w:val="nil"/>
                <w:left w:val="nil"/>
                <w:bottom w:val="nil"/>
                <w:right w:val="nil"/>
                <w:between w:val="nil"/>
              </w:pBdr>
              <w:tabs>
                <w:tab w:val="left" w:pos="567"/>
              </w:tabs>
              <w:spacing w:after="120" w:line="360" w:lineRule="auto"/>
              <w:jc w:val="center"/>
              <w:rPr>
                <w:rFonts w:ascii="Arial" w:eastAsia="Arial" w:hAnsi="Arial" w:cs="Arial"/>
                <w:color w:val="010000"/>
                <w:sz w:val="20"/>
                <w:szCs w:val="20"/>
              </w:rPr>
            </w:pPr>
            <w:r w:rsidRPr="005D3A4A">
              <w:rPr>
                <w:rFonts w:ascii="Arial" w:hAnsi="Arial" w:cs="Arial"/>
                <w:color w:val="010000"/>
                <w:sz w:val="20"/>
              </w:rPr>
              <w:t>2024</w:t>
            </w:r>
          </w:p>
        </w:tc>
        <w:tc>
          <w:tcPr>
            <w:tcW w:w="592" w:type="pct"/>
            <w:shd w:val="clear" w:color="auto" w:fill="auto"/>
            <w:tcMar>
              <w:top w:w="0" w:type="dxa"/>
              <w:bottom w:w="0" w:type="dxa"/>
            </w:tcMar>
            <w:vAlign w:val="center"/>
          </w:tcPr>
          <w:p w14:paraId="5DE4DEA8" w14:textId="77777777" w:rsidR="00891664" w:rsidRPr="005D3A4A" w:rsidRDefault="00E84E1B" w:rsidP="00E84E1B">
            <w:pPr>
              <w:pBdr>
                <w:top w:val="nil"/>
                <w:left w:val="nil"/>
                <w:bottom w:val="nil"/>
                <w:right w:val="nil"/>
                <w:between w:val="nil"/>
              </w:pBdr>
              <w:tabs>
                <w:tab w:val="left" w:pos="567"/>
              </w:tabs>
              <w:spacing w:after="120" w:line="360" w:lineRule="auto"/>
              <w:jc w:val="center"/>
              <w:rPr>
                <w:rFonts w:ascii="Arial" w:eastAsia="Arial" w:hAnsi="Arial" w:cs="Arial"/>
                <w:color w:val="010000"/>
                <w:sz w:val="20"/>
                <w:szCs w:val="20"/>
              </w:rPr>
            </w:pPr>
            <w:r w:rsidRPr="005D3A4A">
              <w:rPr>
                <w:rFonts w:ascii="Arial" w:hAnsi="Arial" w:cs="Arial"/>
                <w:color w:val="010000"/>
                <w:sz w:val="20"/>
              </w:rPr>
              <w:t>2025</w:t>
            </w:r>
          </w:p>
        </w:tc>
      </w:tr>
      <w:tr w:rsidR="00891664" w:rsidRPr="005D3A4A" w14:paraId="01545939" w14:textId="77777777" w:rsidTr="00E84E1B">
        <w:tc>
          <w:tcPr>
            <w:tcW w:w="410" w:type="pct"/>
            <w:shd w:val="clear" w:color="auto" w:fill="auto"/>
            <w:tcMar>
              <w:top w:w="0" w:type="dxa"/>
              <w:bottom w:w="0" w:type="dxa"/>
            </w:tcMar>
            <w:vAlign w:val="center"/>
          </w:tcPr>
          <w:p w14:paraId="73578C31" w14:textId="77777777" w:rsidR="00891664" w:rsidRPr="005D3A4A" w:rsidRDefault="00E84E1B" w:rsidP="00E84E1B">
            <w:pPr>
              <w:pBdr>
                <w:top w:val="nil"/>
                <w:left w:val="nil"/>
                <w:bottom w:val="nil"/>
                <w:right w:val="nil"/>
                <w:between w:val="nil"/>
              </w:pBdr>
              <w:tabs>
                <w:tab w:val="left" w:pos="567"/>
              </w:tabs>
              <w:spacing w:after="120" w:line="360" w:lineRule="auto"/>
              <w:jc w:val="center"/>
              <w:rPr>
                <w:rFonts w:ascii="Arial" w:eastAsia="Arial" w:hAnsi="Arial" w:cs="Arial"/>
                <w:color w:val="010000"/>
                <w:sz w:val="20"/>
                <w:szCs w:val="20"/>
              </w:rPr>
            </w:pPr>
            <w:r w:rsidRPr="005D3A4A">
              <w:rPr>
                <w:rFonts w:ascii="Arial" w:hAnsi="Arial" w:cs="Arial"/>
                <w:color w:val="010000"/>
                <w:sz w:val="20"/>
              </w:rPr>
              <w:t>1</w:t>
            </w:r>
          </w:p>
        </w:tc>
        <w:tc>
          <w:tcPr>
            <w:tcW w:w="1666" w:type="pct"/>
            <w:shd w:val="clear" w:color="auto" w:fill="auto"/>
            <w:tcMar>
              <w:top w:w="0" w:type="dxa"/>
              <w:bottom w:w="0" w:type="dxa"/>
            </w:tcMar>
            <w:vAlign w:val="center"/>
          </w:tcPr>
          <w:p w14:paraId="00AA355B" w14:textId="77777777" w:rsidR="00891664" w:rsidRPr="005D3A4A" w:rsidRDefault="00E84E1B" w:rsidP="00E84E1B">
            <w:p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5D3A4A">
              <w:rPr>
                <w:rFonts w:ascii="Arial" w:hAnsi="Arial" w:cs="Arial"/>
                <w:color w:val="010000"/>
                <w:sz w:val="20"/>
              </w:rPr>
              <w:t>Holding Company</w:t>
            </w:r>
          </w:p>
        </w:tc>
        <w:tc>
          <w:tcPr>
            <w:tcW w:w="580" w:type="pct"/>
            <w:shd w:val="clear" w:color="auto" w:fill="auto"/>
            <w:tcMar>
              <w:top w:w="0" w:type="dxa"/>
              <w:bottom w:w="0" w:type="dxa"/>
            </w:tcMar>
            <w:vAlign w:val="center"/>
          </w:tcPr>
          <w:p w14:paraId="1CCD99C9"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112</w:t>
            </w:r>
          </w:p>
        </w:tc>
        <w:tc>
          <w:tcPr>
            <w:tcW w:w="582" w:type="pct"/>
            <w:shd w:val="clear" w:color="auto" w:fill="auto"/>
            <w:tcMar>
              <w:top w:w="0" w:type="dxa"/>
              <w:bottom w:w="0" w:type="dxa"/>
            </w:tcMar>
            <w:vAlign w:val="center"/>
          </w:tcPr>
          <w:p w14:paraId="16917091"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64</w:t>
            </w:r>
          </w:p>
        </w:tc>
        <w:tc>
          <w:tcPr>
            <w:tcW w:w="584" w:type="pct"/>
            <w:shd w:val="clear" w:color="auto" w:fill="auto"/>
            <w:tcMar>
              <w:top w:w="0" w:type="dxa"/>
              <w:bottom w:w="0" w:type="dxa"/>
            </w:tcMar>
            <w:vAlign w:val="center"/>
          </w:tcPr>
          <w:p w14:paraId="649820A9"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268</w:t>
            </w:r>
          </w:p>
        </w:tc>
        <w:tc>
          <w:tcPr>
            <w:tcW w:w="586" w:type="pct"/>
            <w:shd w:val="clear" w:color="auto" w:fill="auto"/>
            <w:tcMar>
              <w:top w:w="0" w:type="dxa"/>
              <w:bottom w:w="0" w:type="dxa"/>
            </w:tcMar>
            <w:vAlign w:val="center"/>
          </w:tcPr>
          <w:p w14:paraId="3B29DB82"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500</w:t>
            </w:r>
          </w:p>
        </w:tc>
        <w:tc>
          <w:tcPr>
            <w:tcW w:w="592" w:type="pct"/>
            <w:shd w:val="clear" w:color="auto" w:fill="auto"/>
            <w:tcMar>
              <w:top w:w="0" w:type="dxa"/>
              <w:bottom w:w="0" w:type="dxa"/>
            </w:tcMar>
            <w:vAlign w:val="center"/>
          </w:tcPr>
          <w:p w14:paraId="4FD6DFCB"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600</w:t>
            </w:r>
          </w:p>
        </w:tc>
      </w:tr>
      <w:tr w:rsidR="00891664" w:rsidRPr="005D3A4A" w14:paraId="4E00F455" w14:textId="77777777" w:rsidTr="00E84E1B">
        <w:tc>
          <w:tcPr>
            <w:tcW w:w="410" w:type="pct"/>
            <w:shd w:val="clear" w:color="auto" w:fill="auto"/>
            <w:tcMar>
              <w:top w:w="0" w:type="dxa"/>
              <w:bottom w:w="0" w:type="dxa"/>
            </w:tcMar>
            <w:vAlign w:val="center"/>
          </w:tcPr>
          <w:p w14:paraId="1BEF9775" w14:textId="77777777" w:rsidR="00891664" w:rsidRPr="005D3A4A" w:rsidRDefault="00E84E1B" w:rsidP="00E84E1B">
            <w:pPr>
              <w:pBdr>
                <w:top w:val="nil"/>
                <w:left w:val="nil"/>
                <w:bottom w:val="nil"/>
                <w:right w:val="nil"/>
                <w:between w:val="nil"/>
              </w:pBdr>
              <w:tabs>
                <w:tab w:val="left" w:pos="567"/>
              </w:tabs>
              <w:spacing w:after="120" w:line="360" w:lineRule="auto"/>
              <w:jc w:val="center"/>
              <w:rPr>
                <w:rFonts w:ascii="Arial" w:eastAsia="Arial" w:hAnsi="Arial" w:cs="Arial"/>
                <w:color w:val="010000"/>
                <w:sz w:val="20"/>
                <w:szCs w:val="20"/>
              </w:rPr>
            </w:pPr>
            <w:r w:rsidRPr="005D3A4A">
              <w:rPr>
                <w:rFonts w:ascii="Arial" w:hAnsi="Arial" w:cs="Arial"/>
                <w:color w:val="010000"/>
                <w:sz w:val="20"/>
              </w:rPr>
              <w:t>2</w:t>
            </w:r>
          </w:p>
        </w:tc>
        <w:tc>
          <w:tcPr>
            <w:tcW w:w="1666" w:type="pct"/>
            <w:shd w:val="clear" w:color="auto" w:fill="auto"/>
            <w:tcMar>
              <w:top w:w="0" w:type="dxa"/>
              <w:bottom w:w="0" w:type="dxa"/>
            </w:tcMar>
            <w:vAlign w:val="center"/>
          </w:tcPr>
          <w:p w14:paraId="51921C60" w14:textId="77777777" w:rsidR="00891664" w:rsidRPr="005D3A4A" w:rsidRDefault="00E84E1B" w:rsidP="00E84E1B">
            <w:p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5D3A4A">
              <w:rPr>
                <w:rFonts w:ascii="Arial" w:hAnsi="Arial" w:cs="Arial"/>
                <w:color w:val="010000"/>
                <w:sz w:val="20"/>
              </w:rPr>
              <w:t>Consolidation of the Corporation</w:t>
            </w:r>
          </w:p>
        </w:tc>
        <w:tc>
          <w:tcPr>
            <w:tcW w:w="580" w:type="pct"/>
            <w:shd w:val="clear" w:color="auto" w:fill="auto"/>
            <w:tcMar>
              <w:top w:w="0" w:type="dxa"/>
              <w:bottom w:w="0" w:type="dxa"/>
            </w:tcMar>
            <w:vAlign w:val="center"/>
          </w:tcPr>
          <w:p w14:paraId="6D576F0B"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3,185</w:t>
            </w:r>
          </w:p>
        </w:tc>
        <w:tc>
          <w:tcPr>
            <w:tcW w:w="582" w:type="pct"/>
            <w:shd w:val="clear" w:color="auto" w:fill="auto"/>
            <w:tcMar>
              <w:top w:w="0" w:type="dxa"/>
              <w:bottom w:w="0" w:type="dxa"/>
            </w:tcMar>
            <w:vAlign w:val="center"/>
          </w:tcPr>
          <w:p w14:paraId="4E4BEB30"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2,504</w:t>
            </w:r>
          </w:p>
        </w:tc>
        <w:tc>
          <w:tcPr>
            <w:tcW w:w="584" w:type="pct"/>
            <w:shd w:val="clear" w:color="auto" w:fill="auto"/>
            <w:tcMar>
              <w:top w:w="0" w:type="dxa"/>
              <w:bottom w:w="0" w:type="dxa"/>
            </w:tcMar>
            <w:vAlign w:val="center"/>
          </w:tcPr>
          <w:p w14:paraId="518A6362"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5,138</w:t>
            </w:r>
          </w:p>
        </w:tc>
        <w:tc>
          <w:tcPr>
            <w:tcW w:w="586" w:type="pct"/>
            <w:shd w:val="clear" w:color="auto" w:fill="auto"/>
            <w:tcMar>
              <w:top w:w="0" w:type="dxa"/>
              <w:bottom w:w="0" w:type="dxa"/>
            </w:tcMar>
            <w:vAlign w:val="center"/>
          </w:tcPr>
          <w:p w14:paraId="4513835D"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10,221</w:t>
            </w:r>
          </w:p>
        </w:tc>
        <w:tc>
          <w:tcPr>
            <w:tcW w:w="592" w:type="pct"/>
            <w:shd w:val="clear" w:color="auto" w:fill="auto"/>
            <w:tcMar>
              <w:top w:w="0" w:type="dxa"/>
              <w:bottom w:w="0" w:type="dxa"/>
            </w:tcMar>
            <w:vAlign w:val="center"/>
          </w:tcPr>
          <w:p w14:paraId="18A35BAE" w14:textId="77777777" w:rsidR="00891664" w:rsidRPr="005D3A4A" w:rsidRDefault="00E84E1B" w:rsidP="00E84E1B">
            <w:pPr>
              <w:pBdr>
                <w:top w:val="nil"/>
                <w:left w:val="nil"/>
                <w:bottom w:val="nil"/>
                <w:right w:val="nil"/>
                <w:between w:val="nil"/>
              </w:pBdr>
              <w:tabs>
                <w:tab w:val="left" w:pos="567"/>
              </w:tabs>
              <w:spacing w:after="120" w:line="360" w:lineRule="auto"/>
              <w:jc w:val="right"/>
              <w:rPr>
                <w:rFonts w:ascii="Arial" w:eastAsia="Arial" w:hAnsi="Arial" w:cs="Arial"/>
                <w:color w:val="010000"/>
                <w:sz w:val="20"/>
                <w:szCs w:val="20"/>
              </w:rPr>
            </w:pPr>
            <w:r w:rsidRPr="005D3A4A">
              <w:rPr>
                <w:rFonts w:ascii="Arial" w:hAnsi="Arial" w:cs="Arial"/>
                <w:color w:val="010000"/>
                <w:sz w:val="20"/>
              </w:rPr>
              <w:t>9,946</w:t>
            </w:r>
          </w:p>
        </w:tc>
      </w:tr>
    </w:tbl>
    <w:p w14:paraId="3F0E7158" w14:textId="1CA25896" w:rsidR="00891664" w:rsidRPr="005D3A4A" w:rsidRDefault="00E84E1B" w:rsidP="00E84E1B">
      <w:p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5D3A4A">
        <w:rPr>
          <w:rFonts w:ascii="Arial" w:hAnsi="Arial" w:cs="Arial"/>
          <w:color w:val="010000"/>
          <w:sz w:val="20"/>
        </w:rPr>
        <w:t xml:space="preserve">‎‎Article 2. This General Mandate takes effect from January 16, 2024. The Board of Directors, the </w:t>
      </w:r>
      <w:r w:rsidRPr="005D3A4A">
        <w:rPr>
          <w:rFonts w:ascii="Arial" w:hAnsi="Arial" w:cs="Arial"/>
          <w:color w:val="010000"/>
          <w:sz w:val="20"/>
        </w:rPr>
        <w:lastRenderedPageBreak/>
        <w:t xml:space="preserve">Supervisory Board, the General Manager and relevant individuals and units are responsible for implementing this </w:t>
      </w:r>
      <w:r w:rsidR="001B141F" w:rsidRPr="005D3A4A">
        <w:rPr>
          <w:rFonts w:ascii="Arial" w:hAnsi="Arial" w:cs="Arial"/>
          <w:color w:val="010000"/>
          <w:sz w:val="20"/>
        </w:rPr>
        <w:t>General Mandate</w:t>
      </w:r>
      <w:r w:rsidRPr="005D3A4A">
        <w:rPr>
          <w:rFonts w:ascii="Arial" w:hAnsi="Arial" w:cs="Arial"/>
          <w:color w:val="010000"/>
          <w:sz w:val="20"/>
        </w:rPr>
        <w:t>.</w:t>
      </w:r>
    </w:p>
    <w:sectPr w:rsidR="00891664" w:rsidRPr="005D3A4A" w:rsidSect="00E84E1B">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C79A5"/>
    <w:multiLevelType w:val="multilevel"/>
    <w:tmpl w:val="FCCE1DD0"/>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2392068"/>
    <w:multiLevelType w:val="multilevel"/>
    <w:tmpl w:val="52F29376"/>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60F1938"/>
    <w:multiLevelType w:val="multilevel"/>
    <w:tmpl w:val="7E48F272"/>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6DBF1700"/>
    <w:multiLevelType w:val="multilevel"/>
    <w:tmpl w:val="3DD2FAA8"/>
    <w:lvl w:ilvl="0">
      <w:start w:val="1"/>
      <w:numFmt w:val="decimal"/>
      <w:lvlText w:val="2.%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664"/>
    <w:rsid w:val="000823BC"/>
    <w:rsid w:val="001B141F"/>
    <w:rsid w:val="005D3A4A"/>
    <w:rsid w:val="00891664"/>
    <w:rsid w:val="00927B45"/>
    <w:rsid w:val="0093680F"/>
    <w:rsid w:val="00957AD0"/>
    <w:rsid w:val="00A46554"/>
    <w:rsid w:val="00B64296"/>
    <w:rsid w:val="00D742AC"/>
    <w:rsid w:val="00E84E1B"/>
    <w:rsid w:val="00FF3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0FEDAD"/>
  <w15:docId w15:val="{C935B3D4-760B-402B-82B0-C59F570A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yC5LfW3EDIdRDgeu/Bt9ZlPKXw==">CgMxLjA4AHIhMXVEOFVkSUhBV1Z2aFMycE5YQkVfZGItVmlrczl1NV9B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2024-01-22T04:07:00Z</dcterms:created>
  <dcterms:modified xsi:type="dcterms:W3CDTF">2024-01-22T04:07:00Z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5827e859dd88deafacecf793191691916b12d8ab58f5d699343eee9bfe314500</vt:lpwstr>
  </property>
</Properties>
</file>