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4870" w:rsidRPr="0042734D" w:rsidRDefault="00813FCE" w:rsidP="00092B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42734D">
        <w:rPr>
          <w:rFonts w:ascii="Arial" w:hAnsi="Arial"/>
          <w:b/>
          <w:color w:val="010000"/>
          <w:sz w:val="20"/>
        </w:rPr>
        <w:t>STC: Board Resolution</w:t>
      </w:r>
    </w:p>
    <w:p w14:paraId="00000002" w14:textId="77777777" w:rsidR="008E4870" w:rsidRPr="0042734D" w:rsidRDefault="00813FCE" w:rsidP="00092B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 xml:space="preserve">On January 17, 2024, Book and Educational Equipment JSC in Ho Chi Minh city announced Resolution No. 02/NQ-HDQT as follows: </w:t>
      </w:r>
    </w:p>
    <w:p w14:paraId="00000003" w14:textId="77777777" w:rsidR="008E4870" w:rsidRPr="0042734D" w:rsidRDefault="00813FCE" w:rsidP="00092B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>Article 1: Approve the following contents:</w:t>
      </w:r>
    </w:p>
    <w:p w14:paraId="00000004" w14:textId="127A4ADD" w:rsidR="008E4870" w:rsidRPr="0042734D" w:rsidRDefault="00813FCE" w:rsidP="00092B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>The record date for the list of shareholders attending the Annual General Meeting of Shareholders 2024 and to receiving dividend prepayment 2023 is expected on March 11, 2024.</w:t>
      </w:r>
    </w:p>
    <w:p w14:paraId="00000005" w14:textId="77777777" w:rsidR="008E4870" w:rsidRPr="0042734D" w:rsidRDefault="00813FCE" w:rsidP="00092B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>Expected time to hold the Annual General Meeting of Shareholders 2024 is April 11, 2024.</w:t>
      </w:r>
    </w:p>
    <w:p w14:paraId="00000006" w14:textId="045DB37D" w:rsidR="008E4870" w:rsidRPr="0042734D" w:rsidRDefault="00813FCE" w:rsidP="00092B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>Prepay dividends of 2023 in cash with exercise rate of 14% (Shareholders receive VND 1,400 for every share they own).</w:t>
      </w:r>
    </w:p>
    <w:p w14:paraId="00000007" w14:textId="77777777" w:rsidR="008E4870" w:rsidRPr="0042734D" w:rsidRDefault="00813FCE" w:rsidP="00092B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>Article 2:</w:t>
      </w:r>
    </w:p>
    <w:p w14:paraId="00000008" w14:textId="6B354CB9" w:rsidR="008E4870" w:rsidRPr="0042734D" w:rsidRDefault="00813FCE" w:rsidP="00092B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>The Board of Directors assigns the Executive Board to implement the above contents as per the provisions of law and the Company’s Charter.</w:t>
      </w:r>
    </w:p>
    <w:p w14:paraId="00000009" w14:textId="77777777" w:rsidR="008E4870" w:rsidRPr="0042734D" w:rsidRDefault="00813FCE" w:rsidP="00092B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>Article 3:</w:t>
      </w:r>
    </w:p>
    <w:p w14:paraId="0000000A" w14:textId="62B55264" w:rsidR="008E4870" w:rsidRPr="0042734D" w:rsidRDefault="00813FCE" w:rsidP="00092B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734D">
        <w:rPr>
          <w:rFonts w:ascii="Arial" w:hAnsi="Arial"/>
          <w:color w:val="010000"/>
          <w:sz w:val="20"/>
        </w:rPr>
        <w:t>This Resolution takes effect from the date of signing. The Executive Board of the Company and relevant individuals are responsible for implementing this Resolution.</w:t>
      </w:r>
      <w:bookmarkEnd w:id="1"/>
    </w:p>
    <w:sectPr w:rsidR="008E4870" w:rsidRPr="0042734D" w:rsidSect="00B263C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3D73"/>
    <w:multiLevelType w:val="multilevel"/>
    <w:tmpl w:val="35FC90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70"/>
    <w:rsid w:val="00092B4D"/>
    <w:rsid w:val="00164D5E"/>
    <w:rsid w:val="0042734D"/>
    <w:rsid w:val="00813FCE"/>
    <w:rsid w:val="008E4870"/>
    <w:rsid w:val="00B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A6503"/>
  <w15:docId w15:val="{E2D0D9A3-26B9-4923-8A07-14C6BD9F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Iwaxy6zHEXCGQSz8oZhYm1w4Q==">CgMxLjAyCGguZ2pkZ3hzOAByITFDVktBY09POHRUN2NfYjVrT212N25uUVV1MkdhOFd2MQ==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Phuong Thao</cp:lastModifiedBy>
  <cp:revision>5</cp:revision>
  <dcterms:created xsi:type="dcterms:W3CDTF">2024-01-19T08:41:00Z</dcterms:created>
  <dcterms:modified xsi:type="dcterms:W3CDTF">2024-01-22T04:12:00Z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bf895053f4a7006706ac749a1a82a10ddab7aa746e2f46796c8f246c883391fa</vt:lpwstr>
  </property>
</Properties>
</file>