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2946E" w14:textId="77777777" w:rsidR="00FA6C47" w:rsidRPr="00BA0CF5" w:rsidRDefault="00C32EF8" w:rsidP="005D3836">
      <w:pPr>
        <w:pBdr>
          <w:top w:val="nil"/>
          <w:left w:val="nil"/>
          <w:bottom w:val="nil"/>
          <w:right w:val="nil"/>
          <w:between w:val="nil"/>
        </w:pBdr>
        <w:spacing w:after="120" w:line="360" w:lineRule="auto"/>
        <w:jc w:val="both"/>
        <w:rPr>
          <w:rFonts w:ascii="Arial" w:eastAsia="Arial" w:hAnsi="Arial" w:cs="Arial"/>
          <w:b/>
          <w:color w:val="010000"/>
          <w:sz w:val="20"/>
          <w:szCs w:val="20"/>
        </w:rPr>
      </w:pPr>
      <w:r w:rsidRPr="00BA0CF5">
        <w:rPr>
          <w:rFonts w:ascii="Arial" w:hAnsi="Arial"/>
          <w:b/>
          <w:color w:val="010000"/>
          <w:sz w:val="20"/>
        </w:rPr>
        <w:t>VDN: Board Resolution</w:t>
      </w:r>
    </w:p>
    <w:p w14:paraId="459523FD" w14:textId="77777777" w:rsidR="00FA6C47" w:rsidRPr="00BA0CF5" w:rsidRDefault="00C32EF8" w:rsidP="005D3836">
      <w:pPr>
        <w:pBdr>
          <w:top w:val="nil"/>
          <w:left w:val="nil"/>
          <w:bottom w:val="nil"/>
          <w:right w:val="nil"/>
          <w:between w:val="nil"/>
        </w:pBdr>
        <w:spacing w:after="120" w:line="360" w:lineRule="auto"/>
        <w:jc w:val="both"/>
        <w:rPr>
          <w:rFonts w:ascii="Arial" w:eastAsia="Arial" w:hAnsi="Arial" w:cs="Arial"/>
          <w:color w:val="010000"/>
          <w:sz w:val="20"/>
          <w:szCs w:val="20"/>
        </w:rPr>
      </w:pPr>
      <w:r w:rsidRPr="00BA0CF5">
        <w:rPr>
          <w:rFonts w:ascii="Arial" w:hAnsi="Arial"/>
          <w:color w:val="010000"/>
          <w:sz w:val="20"/>
        </w:rPr>
        <w:t>On January 18, 2024, VINATEX Danang JSC announced Resolution No. 01/2024/NQ-HDQT as follows:</w:t>
      </w:r>
    </w:p>
    <w:p w14:paraId="05928D8F" w14:textId="4E4442F3" w:rsidR="00FA6C47" w:rsidRPr="00BA0CF5" w:rsidRDefault="00C32EF8" w:rsidP="005D3836">
      <w:pPr>
        <w:pBdr>
          <w:top w:val="nil"/>
          <w:left w:val="nil"/>
          <w:bottom w:val="nil"/>
          <w:right w:val="nil"/>
          <w:between w:val="nil"/>
        </w:pBdr>
        <w:spacing w:after="120" w:line="360" w:lineRule="auto"/>
        <w:jc w:val="both"/>
        <w:rPr>
          <w:rFonts w:ascii="Arial" w:eastAsia="Arial" w:hAnsi="Arial" w:cs="Arial"/>
          <w:color w:val="010000"/>
          <w:sz w:val="20"/>
          <w:szCs w:val="20"/>
        </w:rPr>
      </w:pPr>
      <w:r w:rsidRPr="00BA0CF5">
        <w:rPr>
          <w:rFonts w:ascii="Arial" w:hAnsi="Arial"/>
          <w:color w:val="010000"/>
          <w:sz w:val="20"/>
        </w:rPr>
        <w:t xml:space="preserve">Article 1: Approve the signing and implementation of contracts/transactions (with a value of less than 35% of the total value of the corporate's assets recorded in the latest Financial Statement) between VINATEX Danang JSC and other affiliated parties in 2024 in accordance with the provisions of Article 167, Law on Enterprise 2020, as follows: </w:t>
      </w:r>
      <w:bookmarkStart w:id="0" w:name="_GoBack"/>
      <w:bookmarkEnd w:id="0"/>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1"/>
        <w:gridCol w:w="2258"/>
        <w:gridCol w:w="3258"/>
        <w:gridCol w:w="2772"/>
      </w:tblGrid>
      <w:tr w:rsidR="00FA6C47" w:rsidRPr="00BA0CF5" w14:paraId="42E03245" w14:textId="77777777">
        <w:tc>
          <w:tcPr>
            <w:tcW w:w="731" w:type="dxa"/>
            <w:shd w:val="clear" w:color="auto" w:fill="auto"/>
            <w:tcMar>
              <w:top w:w="0" w:type="dxa"/>
              <w:bottom w:w="0" w:type="dxa"/>
            </w:tcMar>
            <w:vAlign w:val="center"/>
          </w:tcPr>
          <w:p w14:paraId="624D68F6" w14:textId="77777777" w:rsidR="00FA6C47" w:rsidRPr="00BA0CF5" w:rsidRDefault="00C32EF8">
            <w:pPr>
              <w:pBdr>
                <w:top w:val="nil"/>
                <w:left w:val="nil"/>
                <w:bottom w:val="nil"/>
                <w:right w:val="nil"/>
                <w:between w:val="nil"/>
              </w:pBdr>
              <w:spacing w:after="120" w:line="360" w:lineRule="auto"/>
              <w:rPr>
                <w:rFonts w:ascii="Arial" w:eastAsia="Arial" w:hAnsi="Arial" w:cs="Arial"/>
                <w:color w:val="010000"/>
                <w:sz w:val="20"/>
                <w:szCs w:val="20"/>
              </w:rPr>
            </w:pPr>
            <w:r w:rsidRPr="00BA0CF5">
              <w:rPr>
                <w:rFonts w:ascii="Arial" w:hAnsi="Arial"/>
                <w:color w:val="010000"/>
                <w:sz w:val="20"/>
              </w:rPr>
              <w:t>No.</w:t>
            </w:r>
          </w:p>
        </w:tc>
        <w:tc>
          <w:tcPr>
            <w:tcW w:w="2258" w:type="dxa"/>
            <w:shd w:val="clear" w:color="auto" w:fill="auto"/>
            <w:tcMar>
              <w:top w:w="0" w:type="dxa"/>
              <w:bottom w:w="0" w:type="dxa"/>
            </w:tcMar>
            <w:vAlign w:val="center"/>
          </w:tcPr>
          <w:p w14:paraId="4EC0802E" w14:textId="773ADEB5" w:rsidR="00FA6C47" w:rsidRPr="00BA0CF5" w:rsidRDefault="00C32EF8">
            <w:pPr>
              <w:pBdr>
                <w:top w:val="nil"/>
                <w:left w:val="nil"/>
                <w:bottom w:val="nil"/>
                <w:right w:val="nil"/>
                <w:between w:val="nil"/>
              </w:pBdr>
              <w:spacing w:after="120" w:line="360" w:lineRule="auto"/>
              <w:rPr>
                <w:rFonts w:ascii="Arial" w:eastAsia="Arial" w:hAnsi="Arial" w:cs="Arial"/>
                <w:color w:val="010000"/>
                <w:sz w:val="20"/>
                <w:szCs w:val="20"/>
              </w:rPr>
            </w:pPr>
            <w:r w:rsidRPr="00BA0CF5">
              <w:rPr>
                <w:rFonts w:ascii="Arial" w:hAnsi="Arial"/>
                <w:color w:val="010000"/>
                <w:sz w:val="20"/>
              </w:rPr>
              <w:t>Signing object</w:t>
            </w:r>
          </w:p>
        </w:tc>
        <w:tc>
          <w:tcPr>
            <w:tcW w:w="3258" w:type="dxa"/>
            <w:shd w:val="clear" w:color="auto" w:fill="auto"/>
            <w:tcMar>
              <w:top w:w="0" w:type="dxa"/>
              <w:bottom w:w="0" w:type="dxa"/>
            </w:tcMar>
            <w:vAlign w:val="center"/>
          </w:tcPr>
          <w:p w14:paraId="4A02443F" w14:textId="77777777" w:rsidR="00FA6C47" w:rsidRPr="00BA0CF5" w:rsidRDefault="00C32EF8">
            <w:pPr>
              <w:pBdr>
                <w:top w:val="nil"/>
                <w:left w:val="nil"/>
                <w:bottom w:val="nil"/>
                <w:right w:val="nil"/>
                <w:between w:val="nil"/>
              </w:pBdr>
              <w:tabs>
                <w:tab w:val="left" w:pos="595"/>
              </w:tabs>
              <w:spacing w:after="120" w:line="360" w:lineRule="auto"/>
              <w:rPr>
                <w:rFonts w:ascii="Arial" w:eastAsia="Arial" w:hAnsi="Arial" w:cs="Arial"/>
                <w:color w:val="010000"/>
                <w:sz w:val="20"/>
                <w:szCs w:val="20"/>
              </w:rPr>
            </w:pPr>
            <w:r w:rsidRPr="00BA0CF5">
              <w:rPr>
                <w:rFonts w:ascii="Arial" w:hAnsi="Arial"/>
                <w:color w:val="010000"/>
                <w:sz w:val="20"/>
              </w:rPr>
              <w:t xml:space="preserve"> Address</w:t>
            </w:r>
          </w:p>
        </w:tc>
        <w:tc>
          <w:tcPr>
            <w:tcW w:w="2772" w:type="dxa"/>
            <w:shd w:val="clear" w:color="auto" w:fill="auto"/>
            <w:tcMar>
              <w:top w:w="0" w:type="dxa"/>
              <w:bottom w:w="0" w:type="dxa"/>
            </w:tcMar>
            <w:vAlign w:val="center"/>
          </w:tcPr>
          <w:p w14:paraId="5400EF11" w14:textId="287EAC2F" w:rsidR="00FA6C47" w:rsidRPr="00BA0CF5" w:rsidRDefault="00C32EF8">
            <w:pPr>
              <w:pBdr>
                <w:top w:val="nil"/>
                <w:left w:val="nil"/>
                <w:bottom w:val="nil"/>
                <w:right w:val="nil"/>
                <w:between w:val="nil"/>
              </w:pBdr>
              <w:spacing w:after="120" w:line="360" w:lineRule="auto"/>
              <w:rPr>
                <w:rFonts w:ascii="Arial" w:eastAsia="Arial" w:hAnsi="Arial" w:cs="Arial"/>
                <w:color w:val="010000"/>
                <w:sz w:val="20"/>
                <w:szCs w:val="20"/>
              </w:rPr>
            </w:pPr>
            <w:r w:rsidRPr="00BA0CF5">
              <w:rPr>
                <w:rFonts w:ascii="Arial" w:hAnsi="Arial"/>
                <w:color w:val="010000"/>
                <w:sz w:val="20"/>
              </w:rPr>
              <w:t>Major contents of the contract/transaction</w:t>
            </w:r>
          </w:p>
        </w:tc>
      </w:tr>
      <w:tr w:rsidR="00FA6C47" w:rsidRPr="00BA0CF5" w14:paraId="6BD44BBC" w14:textId="77777777">
        <w:tc>
          <w:tcPr>
            <w:tcW w:w="731" w:type="dxa"/>
            <w:shd w:val="clear" w:color="auto" w:fill="auto"/>
            <w:tcMar>
              <w:top w:w="0" w:type="dxa"/>
              <w:bottom w:w="0" w:type="dxa"/>
            </w:tcMar>
            <w:vAlign w:val="center"/>
          </w:tcPr>
          <w:p w14:paraId="2DF56BC4" w14:textId="77777777" w:rsidR="00FA6C47" w:rsidRPr="00BA0CF5" w:rsidRDefault="00C32EF8">
            <w:pPr>
              <w:pBdr>
                <w:top w:val="nil"/>
                <w:left w:val="nil"/>
                <w:bottom w:val="nil"/>
                <w:right w:val="nil"/>
                <w:between w:val="nil"/>
              </w:pBdr>
              <w:spacing w:after="120" w:line="360" w:lineRule="auto"/>
              <w:rPr>
                <w:rFonts w:ascii="Arial" w:eastAsia="Arial" w:hAnsi="Arial" w:cs="Arial"/>
                <w:color w:val="010000"/>
                <w:sz w:val="20"/>
                <w:szCs w:val="20"/>
              </w:rPr>
            </w:pPr>
            <w:r w:rsidRPr="00BA0CF5">
              <w:rPr>
                <w:rFonts w:ascii="Arial" w:hAnsi="Arial"/>
                <w:color w:val="010000"/>
                <w:sz w:val="20"/>
              </w:rPr>
              <w:t>01</w:t>
            </w:r>
          </w:p>
        </w:tc>
        <w:tc>
          <w:tcPr>
            <w:tcW w:w="2258" w:type="dxa"/>
            <w:shd w:val="clear" w:color="auto" w:fill="auto"/>
            <w:tcMar>
              <w:top w:w="0" w:type="dxa"/>
              <w:bottom w:w="0" w:type="dxa"/>
            </w:tcMar>
            <w:vAlign w:val="center"/>
          </w:tcPr>
          <w:p w14:paraId="5691466E" w14:textId="2BBC111B" w:rsidR="00FA6C47" w:rsidRPr="00BA0CF5" w:rsidRDefault="00C32EF8">
            <w:pPr>
              <w:pBdr>
                <w:top w:val="nil"/>
                <w:left w:val="nil"/>
                <w:bottom w:val="nil"/>
                <w:right w:val="nil"/>
                <w:between w:val="nil"/>
              </w:pBdr>
              <w:spacing w:after="120" w:line="360" w:lineRule="auto"/>
              <w:rPr>
                <w:rFonts w:ascii="Arial" w:eastAsia="Arial" w:hAnsi="Arial" w:cs="Arial"/>
                <w:color w:val="010000"/>
                <w:sz w:val="20"/>
                <w:szCs w:val="20"/>
              </w:rPr>
            </w:pPr>
            <w:r w:rsidRPr="00BA0CF5">
              <w:rPr>
                <w:rFonts w:ascii="Arial" w:hAnsi="Arial"/>
                <w:color w:val="010000"/>
                <w:sz w:val="20"/>
              </w:rPr>
              <w:t>Vietnam National Textile &amp; Garment Group</w:t>
            </w:r>
          </w:p>
        </w:tc>
        <w:tc>
          <w:tcPr>
            <w:tcW w:w="3258" w:type="dxa"/>
            <w:shd w:val="clear" w:color="auto" w:fill="auto"/>
            <w:tcMar>
              <w:top w:w="0" w:type="dxa"/>
              <w:bottom w:w="0" w:type="dxa"/>
            </w:tcMar>
            <w:vAlign w:val="center"/>
          </w:tcPr>
          <w:p w14:paraId="1E47BFC2" w14:textId="77777777" w:rsidR="00FA6C47" w:rsidRPr="00BA0CF5" w:rsidRDefault="00C32EF8">
            <w:pPr>
              <w:pBdr>
                <w:top w:val="nil"/>
                <w:left w:val="nil"/>
                <w:bottom w:val="nil"/>
                <w:right w:val="nil"/>
                <w:between w:val="nil"/>
              </w:pBdr>
              <w:spacing w:after="120" w:line="360" w:lineRule="auto"/>
              <w:rPr>
                <w:rFonts w:ascii="Arial" w:eastAsia="Arial" w:hAnsi="Arial" w:cs="Arial"/>
                <w:color w:val="010000"/>
                <w:sz w:val="20"/>
                <w:szCs w:val="20"/>
              </w:rPr>
            </w:pPr>
            <w:r w:rsidRPr="00BA0CF5">
              <w:rPr>
                <w:rFonts w:ascii="Arial" w:hAnsi="Arial"/>
                <w:color w:val="010000"/>
                <w:sz w:val="20"/>
              </w:rPr>
              <w:t>No. 41A Ly Thai To, Hoan Kiem District, Hanoi</w:t>
            </w:r>
          </w:p>
        </w:tc>
        <w:tc>
          <w:tcPr>
            <w:tcW w:w="2772" w:type="dxa"/>
            <w:shd w:val="clear" w:color="auto" w:fill="auto"/>
            <w:tcMar>
              <w:top w:w="0" w:type="dxa"/>
              <w:bottom w:w="0" w:type="dxa"/>
            </w:tcMar>
            <w:vAlign w:val="center"/>
          </w:tcPr>
          <w:p w14:paraId="41942821" w14:textId="77777777" w:rsidR="00FA6C47" w:rsidRPr="00BA0CF5" w:rsidRDefault="00C32EF8">
            <w:pPr>
              <w:pBdr>
                <w:top w:val="nil"/>
                <w:left w:val="nil"/>
                <w:bottom w:val="nil"/>
                <w:right w:val="nil"/>
                <w:between w:val="nil"/>
              </w:pBdr>
              <w:spacing w:after="120" w:line="360" w:lineRule="auto"/>
              <w:rPr>
                <w:rFonts w:ascii="Arial" w:eastAsia="Arial" w:hAnsi="Arial" w:cs="Arial"/>
                <w:color w:val="010000"/>
                <w:sz w:val="20"/>
                <w:szCs w:val="20"/>
              </w:rPr>
            </w:pPr>
            <w:r w:rsidRPr="00BA0CF5">
              <w:rPr>
                <w:rFonts w:ascii="Arial" w:hAnsi="Arial"/>
                <w:color w:val="010000"/>
                <w:sz w:val="20"/>
              </w:rPr>
              <w:t>Asset leasing, loan transactions, dividend payments</w:t>
            </w:r>
          </w:p>
        </w:tc>
      </w:tr>
      <w:tr w:rsidR="00FA6C47" w:rsidRPr="00BA0CF5" w14:paraId="680F6698" w14:textId="77777777">
        <w:tc>
          <w:tcPr>
            <w:tcW w:w="731" w:type="dxa"/>
            <w:shd w:val="clear" w:color="auto" w:fill="auto"/>
            <w:tcMar>
              <w:top w:w="0" w:type="dxa"/>
              <w:bottom w:w="0" w:type="dxa"/>
            </w:tcMar>
            <w:vAlign w:val="center"/>
          </w:tcPr>
          <w:p w14:paraId="4A6A4BA8" w14:textId="77777777" w:rsidR="00FA6C47" w:rsidRPr="00BA0CF5" w:rsidRDefault="00C32EF8">
            <w:pPr>
              <w:pBdr>
                <w:top w:val="nil"/>
                <w:left w:val="nil"/>
                <w:bottom w:val="nil"/>
                <w:right w:val="nil"/>
                <w:between w:val="nil"/>
              </w:pBdr>
              <w:spacing w:after="120" w:line="360" w:lineRule="auto"/>
              <w:rPr>
                <w:rFonts w:ascii="Arial" w:eastAsia="Arial" w:hAnsi="Arial" w:cs="Arial"/>
                <w:color w:val="010000"/>
                <w:sz w:val="20"/>
                <w:szCs w:val="20"/>
              </w:rPr>
            </w:pPr>
            <w:r w:rsidRPr="00BA0CF5">
              <w:rPr>
                <w:rFonts w:ascii="Arial" w:hAnsi="Arial"/>
                <w:color w:val="010000"/>
                <w:sz w:val="20"/>
              </w:rPr>
              <w:t>02</w:t>
            </w:r>
          </w:p>
        </w:tc>
        <w:tc>
          <w:tcPr>
            <w:tcW w:w="2258" w:type="dxa"/>
            <w:shd w:val="clear" w:color="auto" w:fill="auto"/>
            <w:tcMar>
              <w:top w:w="0" w:type="dxa"/>
              <w:bottom w:w="0" w:type="dxa"/>
            </w:tcMar>
            <w:vAlign w:val="center"/>
          </w:tcPr>
          <w:p w14:paraId="6AE53648" w14:textId="77777777" w:rsidR="00FA6C47" w:rsidRPr="00BA0CF5" w:rsidRDefault="00C32EF8">
            <w:pPr>
              <w:pBdr>
                <w:top w:val="nil"/>
                <w:left w:val="nil"/>
                <w:bottom w:val="nil"/>
                <w:right w:val="nil"/>
                <w:between w:val="nil"/>
              </w:pBdr>
              <w:spacing w:after="120" w:line="360" w:lineRule="auto"/>
              <w:rPr>
                <w:rFonts w:ascii="Arial" w:eastAsia="Arial" w:hAnsi="Arial" w:cs="Arial"/>
                <w:color w:val="010000"/>
                <w:sz w:val="20"/>
                <w:szCs w:val="20"/>
              </w:rPr>
            </w:pPr>
            <w:r w:rsidRPr="00BA0CF5">
              <w:rPr>
                <w:rFonts w:ascii="Arial" w:hAnsi="Arial"/>
                <w:color w:val="010000"/>
                <w:sz w:val="20"/>
              </w:rPr>
              <w:t>Vinatex Nghia Hanh Garment Joint Stock Company</w:t>
            </w:r>
          </w:p>
        </w:tc>
        <w:tc>
          <w:tcPr>
            <w:tcW w:w="3258" w:type="dxa"/>
            <w:shd w:val="clear" w:color="auto" w:fill="auto"/>
            <w:tcMar>
              <w:top w:w="0" w:type="dxa"/>
              <w:bottom w:w="0" w:type="dxa"/>
            </w:tcMar>
            <w:vAlign w:val="center"/>
          </w:tcPr>
          <w:p w14:paraId="76606895" w14:textId="77777777" w:rsidR="00FA6C47" w:rsidRPr="00BA0CF5" w:rsidRDefault="00C32EF8">
            <w:pPr>
              <w:pBdr>
                <w:top w:val="nil"/>
                <w:left w:val="nil"/>
                <w:bottom w:val="nil"/>
                <w:right w:val="nil"/>
                <w:between w:val="nil"/>
              </w:pBdr>
              <w:spacing w:after="120" w:line="360" w:lineRule="auto"/>
              <w:rPr>
                <w:rFonts w:ascii="Arial" w:eastAsia="Arial" w:hAnsi="Arial" w:cs="Arial"/>
                <w:color w:val="010000"/>
                <w:sz w:val="20"/>
                <w:szCs w:val="20"/>
              </w:rPr>
            </w:pPr>
            <w:r w:rsidRPr="00BA0CF5">
              <w:rPr>
                <w:rFonts w:ascii="Arial" w:hAnsi="Arial"/>
                <w:color w:val="010000"/>
                <w:sz w:val="20"/>
              </w:rPr>
              <w:t>Dong Dinh Industrial Cluster, Cho Chua Town, Nghia Hanh District, Quang Ngai Province</w:t>
            </w:r>
          </w:p>
        </w:tc>
        <w:tc>
          <w:tcPr>
            <w:tcW w:w="2772" w:type="dxa"/>
            <w:shd w:val="clear" w:color="auto" w:fill="auto"/>
            <w:tcMar>
              <w:top w:w="0" w:type="dxa"/>
              <w:bottom w:w="0" w:type="dxa"/>
            </w:tcMar>
            <w:vAlign w:val="center"/>
          </w:tcPr>
          <w:p w14:paraId="6B9902DA" w14:textId="77777777" w:rsidR="00FA6C47" w:rsidRPr="00BA0CF5" w:rsidRDefault="00C32EF8">
            <w:pPr>
              <w:pBdr>
                <w:top w:val="nil"/>
                <w:left w:val="nil"/>
                <w:bottom w:val="nil"/>
                <w:right w:val="nil"/>
                <w:between w:val="nil"/>
              </w:pBdr>
              <w:spacing w:after="120" w:line="360" w:lineRule="auto"/>
              <w:rPr>
                <w:rFonts w:ascii="Arial" w:eastAsia="Arial" w:hAnsi="Arial" w:cs="Arial"/>
                <w:color w:val="010000"/>
                <w:sz w:val="20"/>
                <w:szCs w:val="20"/>
              </w:rPr>
            </w:pPr>
            <w:r w:rsidRPr="00BA0CF5">
              <w:rPr>
                <w:rFonts w:ascii="Arial" w:hAnsi="Arial"/>
                <w:color w:val="010000"/>
                <w:sz w:val="20"/>
              </w:rPr>
              <w:t>Garment processing; machinery and equipment renting, leasing, and trading; lending and borrowing activities</w:t>
            </w:r>
          </w:p>
        </w:tc>
      </w:tr>
      <w:tr w:rsidR="00FA6C47" w:rsidRPr="00BA0CF5" w14:paraId="606FA22D" w14:textId="77777777">
        <w:tc>
          <w:tcPr>
            <w:tcW w:w="731" w:type="dxa"/>
            <w:shd w:val="clear" w:color="auto" w:fill="auto"/>
            <w:tcMar>
              <w:top w:w="0" w:type="dxa"/>
              <w:bottom w:w="0" w:type="dxa"/>
            </w:tcMar>
            <w:vAlign w:val="center"/>
          </w:tcPr>
          <w:p w14:paraId="31DFC9BC" w14:textId="77777777" w:rsidR="00FA6C47" w:rsidRPr="00BA0CF5" w:rsidRDefault="00C32EF8">
            <w:pPr>
              <w:pBdr>
                <w:top w:val="nil"/>
                <w:left w:val="nil"/>
                <w:bottom w:val="nil"/>
                <w:right w:val="nil"/>
                <w:between w:val="nil"/>
              </w:pBdr>
              <w:spacing w:after="120" w:line="360" w:lineRule="auto"/>
              <w:rPr>
                <w:rFonts w:ascii="Arial" w:eastAsia="Arial" w:hAnsi="Arial" w:cs="Arial"/>
                <w:color w:val="010000"/>
                <w:sz w:val="20"/>
                <w:szCs w:val="20"/>
              </w:rPr>
            </w:pPr>
            <w:r w:rsidRPr="00BA0CF5">
              <w:rPr>
                <w:rFonts w:ascii="Arial" w:hAnsi="Arial"/>
                <w:color w:val="010000"/>
                <w:sz w:val="20"/>
              </w:rPr>
              <w:t>03</w:t>
            </w:r>
          </w:p>
        </w:tc>
        <w:tc>
          <w:tcPr>
            <w:tcW w:w="2258" w:type="dxa"/>
            <w:shd w:val="clear" w:color="auto" w:fill="auto"/>
            <w:tcMar>
              <w:top w:w="0" w:type="dxa"/>
              <w:bottom w:w="0" w:type="dxa"/>
            </w:tcMar>
            <w:vAlign w:val="center"/>
          </w:tcPr>
          <w:p w14:paraId="714AF614" w14:textId="567D27BD" w:rsidR="00FA6C47" w:rsidRPr="00BA0CF5" w:rsidRDefault="00C32EF8">
            <w:pPr>
              <w:pBdr>
                <w:top w:val="nil"/>
                <w:left w:val="nil"/>
                <w:bottom w:val="nil"/>
                <w:right w:val="nil"/>
                <w:between w:val="nil"/>
              </w:pBdr>
              <w:spacing w:after="120" w:line="360" w:lineRule="auto"/>
              <w:rPr>
                <w:rFonts w:ascii="Arial" w:eastAsia="Arial" w:hAnsi="Arial" w:cs="Arial"/>
                <w:color w:val="010000"/>
                <w:sz w:val="20"/>
                <w:szCs w:val="20"/>
              </w:rPr>
            </w:pPr>
            <w:r w:rsidRPr="00BA0CF5">
              <w:rPr>
                <w:rFonts w:ascii="Arial" w:hAnsi="Arial"/>
                <w:color w:val="010000"/>
                <w:sz w:val="20"/>
              </w:rPr>
              <w:t>Vinatex Ducpho Garment Joint Stock Company</w:t>
            </w:r>
          </w:p>
        </w:tc>
        <w:tc>
          <w:tcPr>
            <w:tcW w:w="3258" w:type="dxa"/>
            <w:shd w:val="clear" w:color="auto" w:fill="auto"/>
            <w:tcMar>
              <w:top w:w="0" w:type="dxa"/>
              <w:bottom w:w="0" w:type="dxa"/>
            </w:tcMar>
            <w:vAlign w:val="center"/>
          </w:tcPr>
          <w:p w14:paraId="63CF53BA" w14:textId="77777777" w:rsidR="00FA6C47" w:rsidRPr="00BA0CF5" w:rsidRDefault="00C32EF8">
            <w:pPr>
              <w:pBdr>
                <w:top w:val="nil"/>
                <w:left w:val="nil"/>
                <w:bottom w:val="nil"/>
                <w:right w:val="nil"/>
                <w:between w:val="nil"/>
              </w:pBdr>
              <w:spacing w:after="120" w:line="360" w:lineRule="auto"/>
              <w:rPr>
                <w:rFonts w:ascii="Arial" w:eastAsia="Arial" w:hAnsi="Arial" w:cs="Arial"/>
                <w:color w:val="010000"/>
                <w:sz w:val="20"/>
                <w:szCs w:val="20"/>
              </w:rPr>
            </w:pPr>
            <w:r w:rsidRPr="00BA0CF5">
              <w:rPr>
                <w:rFonts w:ascii="Arial" w:hAnsi="Arial"/>
                <w:color w:val="010000"/>
                <w:sz w:val="20"/>
              </w:rPr>
              <w:t>Pho Hoa Industrial Cluster, An Thuong Village, Pho Hoa Commune, Duc Pho District, Quang Ngai Province</w:t>
            </w:r>
          </w:p>
        </w:tc>
        <w:tc>
          <w:tcPr>
            <w:tcW w:w="2772" w:type="dxa"/>
            <w:shd w:val="clear" w:color="auto" w:fill="auto"/>
            <w:tcMar>
              <w:top w:w="0" w:type="dxa"/>
              <w:bottom w:w="0" w:type="dxa"/>
            </w:tcMar>
            <w:vAlign w:val="center"/>
          </w:tcPr>
          <w:p w14:paraId="23CBE728" w14:textId="77777777" w:rsidR="00FA6C47" w:rsidRPr="00BA0CF5" w:rsidRDefault="00C32EF8">
            <w:pPr>
              <w:pBdr>
                <w:top w:val="nil"/>
                <w:left w:val="nil"/>
                <w:bottom w:val="nil"/>
                <w:right w:val="nil"/>
                <w:between w:val="nil"/>
              </w:pBdr>
              <w:spacing w:after="120" w:line="360" w:lineRule="auto"/>
              <w:rPr>
                <w:rFonts w:ascii="Arial" w:eastAsia="Arial" w:hAnsi="Arial" w:cs="Arial"/>
                <w:color w:val="010000"/>
                <w:sz w:val="20"/>
                <w:szCs w:val="20"/>
              </w:rPr>
            </w:pPr>
            <w:r w:rsidRPr="00BA0CF5">
              <w:rPr>
                <w:rFonts w:ascii="Arial" w:hAnsi="Arial"/>
                <w:color w:val="010000"/>
                <w:sz w:val="20"/>
              </w:rPr>
              <w:t>Garment processing; machinery and equipment renting, leasing, and trading; lending and borrowing activities</w:t>
            </w:r>
          </w:p>
        </w:tc>
      </w:tr>
      <w:tr w:rsidR="00FA6C47" w:rsidRPr="00BA0CF5" w14:paraId="1CECC81A" w14:textId="77777777">
        <w:tc>
          <w:tcPr>
            <w:tcW w:w="731" w:type="dxa"/>
            <w:shd w:val="clear" w:color="auto" w:fill="auto"/>
            <w:tcMar>
              <w:top w:w="0" w:type="dxa"/>
              <w:bottom w:w="0" w:type="dxa"/>
            </w:tcMar>
            <w:vAlign w:val="center"/>
          </w:tcPr>
          <w:p w14:paraId="35AD7E7A" w14:textId="77777777" w:rsidR="00FA6C47" w:rsidRPr="00BA0CF5" w:rsidRDefault="00C32EF8">
            <w:pPr>
              <w:pBdr>
                <w:top w:val="nil"/>
                <w:left w:val="nil"/>
                <w:bottom w:val="nil"/>
                <w:right w:val="nil"/>
                <w:between w:val="nil"/>
              </w:pBdr>
              <w:spacing w:after="120" w:line="360" w:lineRule="auto"/>
              <w:rPr>
                <w:rFonts w:ascii="Arial" w:eastAsia="Arial" w:hAnsi="Arial" w:cs="Arial"/>
                <w:color w:val="010000"/>
                <w:sz w:val="20"/>
                <w:szCs w:val="20"/>
              </w:rPr>
            </w:pPr>
            <w:r w:rsidRPr="00BA0CF5">
              <w:rPr>
                <w:rFonts w:ascii="Arial" w:hAnsi="Arial"/>
                <w:color w:val="010000"/>
                <w:sz w:val="20"/>
              </w:rPr>
              <w:t>04</w:t>
            </w:r>
          </w:p>
        </w:tc>
        <w:tc>
          <w:tcPr>
            <w:tcW w:w="2258" w:type="dxa"/>
            <w:shd w:val="clear" w:color="auto" w:fill="auto"/>
            <w:tcMar>
              <w:top w:w="0" w:type="dxa"/>
              <w:bottom w:w="0" w:type="dxa"/>
            </w:tcMar>
            <w:vAlign w:val="center"/>
          </w:tcPr>
          <w:p w14:paraId="4F3C7AA1" w14:textId="68E8F2E0" w:rsidR="00FA6C47" w:rsidRPr="00BA0CF5" w:rsidRDefault="00C32EF8">
            <w:pPr>
              <w:pBdr>
                <w:top w:val="nil"/>
                <w:left w:val="nil"/>
                <w:bottom w:val="nil"/>
                <w:right w:val="nil"/>
                <w:between w:val="nil"/>
              </w:pBdr>
              <w:spacing w:after="120" w:line="360" w:lineRule="auto"/>
              <w:rPr>
                <w:rFonts w:ascii="Arial" w:eastAsia="Arial" w:hAnsi="Arial" w:cs="Arial"/>
                <w:color w:val="010000"/>
                <w:sz w:val="20"/>
                <w:szCs w:val="20"/>
              </w:rPr>
            </w:pPr>
            <w:r w:rsidRPr="00BA0CF5">
              <w:rPr>
                <w:rFonts w:ascii="Arial" w:hAnsi="Arial"/>
                <w:color w:val="010000"/>
                <w:sz w:val="20"/>
              </w:rPr>
              <w:t>Nha Be Garment Corporation - Joint Stock Company</w:t>
            </w:r>
          </w:p>
        </w:tc>
        <w:tc>
          <w:tcPr>
            <w:tcW w:w="3258" w:type="dxa"/>
            <w:shd w:val="clear" w:color="auto" w:fill="auto"/>
            <w:tcMar>
              <w:top w:w="0" w:type="dxa"/>
              <w:bottom w:w="0" w:type="dxa"/>
            </w:tcMar>
            <w:vAlign w:val="center"/>
          </w:tcPr>
          <w:p w14:paraId="5E3957CA" w14:textId="77777777" w:rsidR="00FA6C47" w:rsidRPr="00BA0CF5" w:rsidRDefault="00C32EF8">
            <w:pPr>
              <w:pBdr>
                <w:top w:val="nil"/>
                <w:left w:val="nil"/>
                <w:bottom w:val="nil"/>
                <w:right w:val="nil"/>
                <w:between w:val="nil"/>
              </w:pBdr>
              <w:spacing w:after="120" w:line="360" w:lineRule="auto"/>
              <w:rPr>
                <w:rFonts w:ascii="Arial" w:eastAsia="Arial" w:hAnsi="Arial" w:cs="Arial"/>
                <w:color w:val="010000"/>
                <w:sz w:val="20"/>
                <w:szCs w:val="20"/>
              </w:rPr>
            </w:pPr>
            <w:r w:rsidRPr="00BA0CF5">
              <w:rPr>
                <w:rFonts w:ascii="Arial" w:hAnsi="Arial"/>
                <w:color w:val="010000"/>
                <w:sz w:val="20"/>
              </w:rPr>
              <w:t>No. 4 Ben Nghe Street, Tan Thuan Dong Ward, District 7, Ho Chi Minh City</w:t>
            </w:r>
          </w:p>
        </w:tc>
        <w:tc>
          <w:tcPr>
            <w:tcW w:w="2772" w:type="dxa"/>
            <w:shd w:val="clear" w:color="auto" w:fill="auto"/>
            <w:tcMar>
              <w:top w:w="0" w:type="dxa"/>
              <w:bottom w:w="0" w:type="dxa"/>
            </w:tcMar>
            <w:vAlign w:val="center"/>
          </w:tcPr>
          <w:p w14:paraId="58E9D066" w14:textId="77777777" w:rsidR="00FA6C47" w:rsidRPr="00BA0CF5" w:rsidRDefault="00C32EF8">
            <w:pPr>
              <w:pBdr>
                <w:top w:val="nil"/>
                <w:left w:val="nil"/>
                <w:bottom w:val="nil"/>
                <w:right w:val="nil"/>
                <w:between w:val="nil"/>
              </w:pBdr>
              <w:spacing w:after="120" w:line="360" w:lineRule="auto"/>
              <w:rPr>
                <w:rFonts w:ascii="Arial" w:eastAsia="Arial" w:hAnsi="Arial" w:cs="Arial"/>
                <w:color w:val="010000"/>
                <w:sz w:val="20"/>
                <w:szCs w:val="20"/>
              </w:rPr>
            </w:pPr>
            <w:r w:rsidRPr="00BA0CF5">
              <w:rPr>
                <w:rFonts w:ascii="Arial" w:hAnsi="Arial"/>
                <w:color w:val="010000"/>
                <w:sz w:val="20"/>
              </w:rPr>
              <w:t>Garment processing; machinery and equipment renting, leasing, and trading</w:t>
            </w:r>
          </w:p>
        </w:tc>
      </w:tr>
      <w:tr w:rsidR="00FA6C47" w:rsidRPr="00BA0CF5" w14:paraId="5E63AE6D" w14:textId="77777777">
        <w:tc>
          <w:tcPr>
            <w:tcW w:w="731" w:type="dxa"/>
            <w:shd w:val="clear" w:color="auto" w:fill="auto"/>
            <w:tcMar>
              <w:top w:w="0" w:type="dxa"/>
              <w:bottom w:w="0" w:type="dxa"/>
            </w:tcMar>
            <w:vAlign w:val="center"/>
          </w:tcPr>
          <w:p w14:paraId="42C54844" w14:textId="77777777" w:rsidR="00FA6C47" w:rsidRPr="00BA0CF5" w:rsidRDefault="00C32EF8">
            <w:pPr>
              <w:pBdr>
                <w:top w:val="nil"/>
                <w:left w:val="nil"/>
                <w:bottom w:val="nil"/>
                <w:right w:val="nil"/>
                <w:between w:val="nil"/>
              </w:pBdr>
              <w:spacing w:after="120" w:line="360" w:lineRule="auto"/>
              <w:rPr>
                <w:rFonts w:ascii="Arial" w:eastAsia="Arial" w:hAnsi="Arial" w:cs="Arial"/>
                <w:color w:val="010000"/>
                <w:sz w:val="20"/>
                <w:szCs w:val="20"/>
              </w:rPr>
            </w:pPr>
            <w:r w:rsidRPr="00BA0CF5">
              <w:rPr>
                <w:rFonts w:ascii="Arial" w:hAnsi="Arial"/>
                <w:color w:val="010000"/>
                <w:sz w:val="20"/>
              </w:rPr>
              <w:t>05</w:t>
            </w:r>
          </w:p>
          <w:p w14:paraId="257222BC" w14:textId="77777777" w:rsidR="00FA6C47" w:rsidRPr="00BA0CF5" w:rsidRDefault="00C32EF8">
            <w:pPr>
              <w:pBdr>
                <w:top w:val="nil"/>
                <w:left w:val="nil"/>
                <w:bottom w:val="nil"/>
                <w:right w:val="nil"/>
                <w:between w:val="nil"/>
              </w:pBdr>
              <w:tabs>
                <w:tab w:val="left" w:pos="350"/>
              </w:tabs>
              <w:spacing w:after="120" w:line="360" w:lineRule="auto"/>
              <w:rPr>
                <w:rFonts w:ascii="Arial" w:eastAsia="Arial" w:hAnsi="Arial" w:cs="Arial"/>
                <w:color w:val="010000"/>
                <w:sz w:val="20"/>
                <w:szCs w:val="20"/>
              </w:rPr>
            </w:pPr>
            <w:r w:rsidRPr="00BA0CF5">
              <w:rPr>
                <w:rFonts w:ascii="Arial" w:hAnsi="Arial"/>
                <w:color w:val="010000"/>
                <w:sz w:val="20"/>
              </w:rPr>
              <w:t xml:space="preserve"> </w:t>
            </w:r>
          </w:p>
        </w:tc>
        <w:tc>
          <w:tcPr>
            <w:tcW w:w="2258" w:type="dxa"/>
            <w:shd w:val="clear" w:color="auto" w:fill="auto"/>
            <w:tcMar>
              <w:top w:w="0" w:type="dxa"/>
              <w:bottom w:w="0" w:type="dxa"/>
            </w:tcMar>
            <w:vAlign w:val="center"/>
          </w:tcPr>
          <w:p w14:paraId="147A9415" w14:textId="4BBA72CF" w:rsidR="00FA6C47" w:rsidRPr="00BA0CF5" w:rsidRDefault="00C32EF8">
            <w:pPr>
              <w:pBdr>
                <w:top w:val="nil"/>
                <w:left w:val="nil"/>
                <w:bottom w:val="nil"/>
                <w:right w:val="nil"/>
                <w:between w:val="nil"/>
              </w:pBdr>
              <w:spacing w:after="120" w:line="360" w:lineRule="auto"/>
              <w:rPr>
                <w:rFonts w:ascii="Arial" w:eastAsia="Arial" w:hAnsi="Arial" w:cs="Arial"/>
                <w:color w:val="010000"/>
                <w:sz w:val="20"/>
                <w:szCs w:val="20"/>
              </w:rPr>
            </w:pPr>
            <w:r w:rsidRPr="00BA0CF5">
              <w:rPr>
                <w:rFonts w:ascii="Arial" w:hAnsi="Arial"/>
                <w:color w:val="010000"/>
                <w:sz w:val="20"/>
              </w:rPr>
              <w:t>Vinatex Textile and Garment Southern Corporation Limited Liability Company</w:t>
            </w:r>
          </w:p>
        </w:tc>
        <w:tc>
          <w:tcPr>
            <w:tcW w:w="3258" w:type="dxa"/>
            <w:shd w:val="clear" w:color="auto" w:fill="auto"/>
            <w:tcMar>
              <w:top w:w="0" w:type="dxa"/>
              <w:bottom w:w="0" w:type="dxa"/>
            </w:tcMar>
            <w:vAlign w:val="center"/>
          </w:tcPr>
          <w:p w14:paraId="3D8FB588" w14:textId="77777777" w:rsidR="00FA6C47" w:rsidRPr="00BA0CF5" w:rsidRDefault="00C32EF8">
            <w:pPr>
              <w:pBdr>
                <w:top w:val="nil"/>
                <w:left w:val="nil"/>
                <w:bottom w:val="nil"/>
                <w:right w:val="nil"/>
                <w:between w:val="nil"/>
              </w:pBdr>
              <w:spacing w:after="120" w:line="360" w:lineRule="auto"/>
              <w:rPr>
                <w:rFonts w:ascii="Arial" w:eastAsia="Arial" w:hAnsi="Arial" w:cs="Arial"/>
                <w:color w:val="010000"/>
                <w:sz w:val="20"/>
                <w:szCs w:val="20"/>
              </w:rPr>
            </w:pPr>
            <w:r w:rsidRPr="00BA0CF5">
              <w:rPr>
                <w:rFonts w:ascii="Arial" w:hAnsi="Arial"/>
                <w:color w:val="010000"/>
                <w:sz w:val="20"/>
              </w:rPr>
              <w:t>No. 4 Ben Nghe Street, Tan Thuan Dong Ward, District 7, Ho Chi Minh City</w:t>
            </w:r>
          </w:p>
        </w:tc>
        <w:tc>
          <w:tcPr>
            <w:tcW w:w="2772" w:type="dxa"/>
            <w:shd w:val="clear" w:color="auto" w:fill="auto"/>
            <w:tcMar>
              <w:top w:w="0" w:type="dxa"/>
              <w:bottom w:w="0" w:type="dxa"/>
            </w:tcMar>
            <w:vAlign w:val="center"/>
          </w:tcPr>
          <w:p w14:paraId="4D33FC52" w14:textId="77777777" w:rsidR="00FA6C47" w:rsidRPr="00BA0CF5" w:rsidRDefault="00C32EF8">
            <w:pPr>
              <w:pBdr>
                <w:top w:val="nil"/>
                <w:left w:val="nil"/>
                <w:bottom w:val="nil"/>
                <w:right w:val="nil"/>
                <w:between w:val="nil"/>
              </w:pBdr>
              <w:spacing w:after="120" w:line="360" w:lineRule="auto"/>
              <w:rPr>
                <w:rFonts w:ascii="Arial" w:eastAsia="Arial" w:hAnsi="Arial" w:cs="Arial"/>
                <w:color w:val="010000"/>
                <w:sz w:val="20"/>
                <w:szCs w:val="20"/>
              </w:rPr>
            </w:pPr>
            <w:r w:rsidRPr="00BA0CF5">
              <w:rPr>
                <w:rFonts w:ascii="Arial" w:hAnsi="Arial"/>
                <w:color w:val="010000"/>
                <w:sz w:val="20"/>
              </w:rPr>
              <w:t>Garment processing; machinery and equipment renting, leasing, and trading</w:t>
            </w:r>
          </w:p>
        </w:tc>
      </w:tr>
    </w:tbl>
    <w:p w14:paraId="3127873B" w14:textId="77777777" w:rsidR="00FA6C47" w:rsidRPr="00BA0CF5" w:rsidRDefault="00C32EF8" w:rsidP="005D3836">
      <w:pPr>
        <w:pBdr>
          <w:top w:val="nil"/>
          <w:left w:val="nil"/>
          <w:bottom w:val="nil"/>
          <w:right w:val="nil"/>
          <w:between w:val="nil"/>
        </w:pBdr>
        <w:spacing w:after="120" w:line="360" w:lineRule="auto"/>
        <w:jc w:val="both"/>
        <w:rPr>
          <w:rFonts w:ascii="Arial" w:eastAsia="Arial" w:hAnsi="Arial" w:cs="Arial"/>
          <w:color w:val="010000"/>
          <w:sz w:val="20"/>
          <w:szCs w:val="20"/>
        </w:rPr>
      </w:pPr>
      <w:r w:rsidRPr="00BA0CF5">
        <w:rPr>
          <w:rFonts w:ascii="Arial" w:hAnsi="Arial"/>
          <w:color w:val="010000"/>
          <w:sz w:val="20"/>
        </w:rPr>
        <w:t>Article 2: The Board of Directors assigns the General Manager - the Company's legal representative to negotiate detailed articles and clauses, implement the signing, implementation/ extension/ amendment/ liquidation of contracts/transactions between the Company and affiliated parties specified in Article 1, ensuring that these contracts/transactions are carried out on the basis of equality, competition and in accordance with the Company's Charter and legal regulations.</w:t>
      </w:r>
    </w:p>
    <w:p w14:paraId="547BB108" w14:textId="4A789DC4" w:rsidR="00FA6C47" w:rsidRPr="00BA0CF5" w:rsidRDefault="00C32EF8" w:rsidP="005D3836">
      <w:pPr>
        <w:pBdr>
          <w:top w:val="nil"/>
          <w:left w:val="nil"/>
          <w:bottom w:val="nil"/>
          <w:right w:val="nil"/>
          <w:between w:val="nil"/>
        </w:pBdr>
        <w:spacing w:after="120" w:line="360" w:lineRule="auto"/>
        <w:jc w:val="both"/>
        <w:rPr>
          <w:rFonts w:ascii="Arial" w:eastAsia="Arial" w:hAnsi="Arial" w:cs="Arial"/>
          <w:color w:val="010000"/>
          <w:sz w:val="20"/>
          <w:szCs w:val="20"/>
        </w:rPr>
      </w:pPr>
      <w:r w:rsidRPr="00BA0CF5">
        <w:rPr>
          <w:rFonts w:ascii="Arial" w:hAnsi="Arial"/>
          <w:color w:val="010000"/>
          <w:sz w:val="20"/>
        </w:rPr>
        <w:t>Article 3: The Board of Directors assigns the General Manager - the Company's legal representative to authorize members of the Executive Board to carry out the contents specified in Article 2.</w:t>
      </w:r>
    </w:p>
    <w:p w14:paraId="28436E81" w14:textId="77777777" w:rsidR="00FA6C47" w:rsidRPr="00BA0CF5" w:rsidRDefault="00C32EF8" w:rsidP="005D3836">
      <w:pPr>
        <w:pBdr>
          <w:top w:val="nil"/>
          <w:left w:val="nil"/>
          <w:bottom w:val="nil"/>
          <w:right w:val="nil"/>
          <w:between w:val="nil"/>
        </w:pBdr>
        <w:spacing w:after="120" w:line="360" w:lineRule="auto"/>
        <w:jc w:val="both"/>
        <w:rPr>
          <w:rFonts w:ascii="Arial" w:eastAsia="Arial" w:hAnsi="Arial" w:cs="Arial"/>
          <w:color w:val="010000"/>
          <w:sz w:val="20"/>
          <w:szCs w:val="20"/>
        </w:rPr>
      </w:pPr>
      <w:r w:rsidRPr="00BA0CF5">
        <w:rPr>
          <w:rFonts w:ascii="Arial" w:hAnsi="Arial"/>
          <w:color w:val="010000"/>
          <w:sz w:val="20"/>
        </w:rPr>
        <w:lastRenderedPageBreak/>
        <w:t>Article 4: Members of the Board of Directors, the Company's Executive Board, the Finance and Accounting Department and relevant professional departments are responsible for implementing this Resolution.</w:t>
      </w:r>
    </w:p>
    <w:p w14:paraId="3DF3023C" w14:textId="77777777" w:rsidR="00FA6C47" w:rsidRPr="00BA0CF5" w:rsidRDefault="00C32EF8" w:rsidP="005D3836">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BA0CF5">
        <w:rPr>
          <w:rFonts w:ascii="Arial" w:hAnsi="Arial"/>
          <w:color w:val="010000"/>
          <w:sz w:val="20"/>
        </w:rPr>
        <w:t>Article 5: The Resolution takes effect from the date of its signing.</w:t>
      </w:r>
    </w:p>
    <w:sectPr w:rsidR="00FA6C47" w:rsidRPr="00BA0CF5">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47"/>
    <w:rsid w:val="005D3836"/>
    <w:rsid w:val="00BA0CF5"/>
    <w:rsid w:val="00C32EF8"/>
    <w:rsid w:val="00FA6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A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3lSZ1dAgEmKXloWA+pW1rbMHHw==">CgMxLjAyCGguZ2pkZ3hzOAByITFubV9uOFotOHlRckEyZjBUQWJNRFpJRDJpTmpGb21KcQ==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371</Words>
  <Characters>2175</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Ha Anh</cp:lastModifiedBy>
  <cp:revision>4</cp:revision>
  <dcterms:created xsi:type="dcterms:W3CDTF">2024-01-19T09:37:00Z</dcterms:created>
  <dcterms:modified xsi:type="dcterms:W3CDTF">2024-01-22T07:37:00Z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9eb91d4c9c68f7969bfb4ea0c692075f8a765f83ebffc28078276030326d74d5</vt:lpwstr>
  </property>
</Properties>
</file>