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7D0F8" w14:textId="77777777" w:rsidR="00837F52" w:rsidRPr="00BA35F1" w:rsidRDefault="00837F52" w:rsidP="00E57633">
      <w:pPr>
        <w:pStyle w:val="Vnbnnidung0"/>
        <w:tabs>
          <w:tab w:val="left" w:pos="360"/>
        </w:tabs>
        <w:spacing w:after="120" w:line="360" w:lineRule="auto"/>
        <w:ind w:firstLine="0"/>
        <w:jc w:val="both"/>
        <w:rPr>
          <w:rFonts w:ascii="Arial" w:hAnsi="Arial" w:cs="Arial"/>
          <w:b/>
          <w:bCs/>
          <w:color w:val="010000"/>
          <w:sz w:val="20"/>
        </w:rPr>
      </w:pPr>
      <w:r w:rsidRPr="00BA35F1">
        <w:rPr>
          <w:rFonts w:ascii="Arial" w:hAnsi="Arial" w:cs="Arial"/>
          <w:b/>
          <w:color w:val="010000"/>
          <w:sz w:val="20"/>
        </w:rPr>
        <w:t>AAV: Board Resolution</w:t>
      </w:r>
      <w:bookmarkStart w:id="0" w:name="_GoBack"/>
      <w:bookmarkEnd w:id="0"/>
    </w:p>
    <w:p w14:paraId="4E1175AE" w14:textId="6BC0958B" w:rsidR="00837F52" w:rsidRPr="00BA35F1" w:rsidRDefault="00837F52" w:rsidP="00E57633">
      <w:pPr>
        <w:pStyle w:val="Vnbnnidung0"/>
        <w:tabs>
          <w:tab w:val="left" w:pos="360"/>
        </w:tabs>
        <w:spacing w:after="120" w:line="360" w:lineRule="auto"/>
        <w:ind w:firstLine="0"/>
        <w:jc w:val="both"/>
        <w:rPr>
          <w:rFonts w:ascii="Arial" w:hAnsi="Arial" w:cs="Arial"/>
          <w:bCs/>
          <w:color w:val="010000"/>
          <w:sz w:val="20"/>
        </w:rPr>
      </w:pPr>
      <w:r w:rsidRPr="00BA35F1">
        <w:rPr>
          <w:rFonts w:ascii="Arial" w:hAnsi="Arial" w:cs="Arial"/>
          <w:color w:val="010000"/>
          <w:sz w:val="20"/>
        </w:rPr>
        <w:t xml:space="preserve">On January 19, 2024, AAV Group JSC announced Resolution No. 1901/2024/QD/HDQT-AAV on approving the transactions between the Company and related parties arising in 2024 as follows: </w:t>
      </w:r>
    </w:p>
    <w:p w14:paraId="1D97671F" w14:textId="176078D2" w:rsidR="00D73236" w:rsidRPr="00BA35F1" w:rsidRDefault="00177B25" w:rsidP="00E57633">
      <w:pPr>
        <w:pStyle w:val="Vnbnnidung0"/>
        <w:tabs>
          <w:tab w:val="left" w:pos="360"/>
        </w:tabs>
        <w:spacing w:after="120" w:line="360" w:lineRule="auto"/>
        <w:ind w:firstLine="0"/>
        <w:jc w:val="both"/>
        <w:rPr>
          <w:rFonts w:ascii="Arial" w:hAnsi="Arial" w:cs="Arial"/>
          <w:color w:val="010000"/>
          <w:sz w:val="20"/>
        </w:rPr>
      </w:pPr>
      <w:r w:rsidRPr="00BA35F1">
        <w:rPr>
          <w:rFonts w:ascii="Arial" w:hAnsi="Arial" w:cs="Arial"/>
          <w:color w:val="010000"/>
          <w:sz w:val="20"/>
        </w:rPr>
        <w:t xml:space="preserve">Article 1: Approve the arising transactions between AAV Group JSC and its related parties, with a transaction value of up to 35% of the company's total assets arising in 2024, including but not limited to the transactions listed below between the Company and (i) its subsidiaries/affiliated companies; (ii) shareholders, authorized representatives of shareholders owning more than 10% of the total number of Company’s </w:t>
      </w:r>
      <w:r w:rsidR="008364E9" w:rsidRPr="00BA35F1">
        <w:rPr>
          <w:rFonts w:ascii="Arial" w:hAnsi="Arial" w:cs="Arial"/>
          <w:color w:val="010000"/>
          <w:sz w:val="20"/>
        </w:rPr>
        <w:t>common</w:t>
      </w:r>
      <w:r w:rsidRPr="00BA35F1">
        <w:rPr>
          <w:rFonts w:ascii="Arial" w:hAnsi="Arial" w:cs="Arial"/>
          <w:color w:val="010000"/>
          <w:sz w:val="20"/>
        </w:rPr>
        <w:t xml:space="preserve"> shares and their affiliated persons; (iii) PDMR (members of the Board of Directors, the Board of Management, the Supervisory Board,...) and their affiliated persons; and (iv) other related parties of the Company:</w:t>
      </w:r>
    </w:p>
    <w:p w14:paraId="545BE4A2" w14:textId="15D30AAD" w:rsidR="00D73236" w:rsidRPr="00BA35F1" w:rsidRDefault="00177B25" w:rsidP="00E57633">
      <w:pPr>
        <w:pStyle w:val="Vnbnnidung0"/>
        <w:numPr>
          <w:ilvl w:val="0"/>
          <w:numId w:val="2"/>
        </w:numPr>
        <w:tabs>
          <w:tab w:val="left" w:pos="360"/>
          <w:tab w:val="left" w:pos="1051"/>
        </w:tabs>
        <w:spacing w:after="120" w:line="360" w:lineRule="auto"/>
        <w:ind w:firstLine="0"/>
        <w:jc w:val="both"/>
        <w:rPr>
          <w:rFonts w:ascii="Arial" w:hAnsi="Arial" w:cs="Arial"/>
          <w:color w:val="010000"/>
          <w:sz w:val="20"/>
        </w:rPr>
      </w:pPr>
      <w:r w:rsidRPr="00BA35F1">
        <w:rPr>
          <w:rFonts w:ascii="Arial" w:hAnsi="Arial" w:cs="Arial"/>
          <w:color w:val="010000"/>
          <w:sz w:val="20"/>
        </w:rPr>
        <w:t xml:space="preserve">Transactions of </w:t>
      </w:r>
      <w:r w:rsidR="00D872BD" w:rsidRPr="00BA35F1">
        <w:rPr>
          <w:rFonts w:ascii="Arial" w:hAnsi="Arial" w:cs="Arial"/>
          <w:color w:val="010000"/>
          <w:sz w:val="20"/>
        </w:rPr>
        <w:t>giving/taking</w:t>
      </w:r>
      <w:r w:rsidRPr="00BA35F1">
        <w:rPr>
          <w:rFonts w:ascii="Arial" w:hAnsi="Arial" w:cs="Arial"/>
          <w:color w:val="010000"/>
          <w:sz w:val="20"/>
        </w:rPr>
        <w:t xml:space="preserve"> loan</w:t>
      </w:r>
      <w:r w:rsidR="00D872BD" w:rsidRPr="00BA35F1">
        <w:rPr>
          <w:rFonts w:ascii="Arial" w:hAnsi="Arial" w:cs="Arial"/>
          <w:color w:val="010000"/>
          <w:sz w:val="20"/>
        </w:rPr>
        <w:t>s</w:t>
      </w:r>
      <w:r w:rsidRPr="00BA35F1">
        <w:rPr>
          <w:rFonts w:ascii="Arial" w:hAnsi="Arial" w:cs="Arial"/>
          <w:color w:val="010000"/>
          <w:sz w:val="20"/>
        </w:rPr>
        <w:t xml:space="preserve">, </w:t>
      </w:r>
      <w:r w:rsidR="004D2F25" w:rsidRPr="00BA35F1">
        <w:rPr>
          <w:rFonts w:ascii="Arial" w:hAnsi="Arial" w:cs="Arial"/>
          <w:color w:val="010000"/>
          <w:sz w:val="20"/>
        </w:rPr>
        <w:t>guaranteeing</w:t>
      </w:r>
      <w:r w:rsidRPr="00BA35F1">
        <w:rPr>
          <w:rFonts w:ascii="Arial" w:hAnsi="Arial" w:cs="Arial"/>
          <w:color w:val="010000"/>
          <w:sz w:val="20"/>
        </w:rPr>
        <w:t xml:space="preserve"> and asset </w:t>
      </w:r>
      <w:r w:rsidR="004D2F25" w:rsidRPr="00BA35F1">
        <w:rPr>
          <w:rFonts w:ascii="Arial" w:hAnsi="Arial" w:cs="Arial"/>
          <w:color w:val="010000"/>
          <w:sz w:val="20"/>
        </w:rPr>
        <w:t>mortgaging</w:t>
      </w:r>
      <w:r w:rsidRPr="00BA35F1">
        <w:rPr>
          <w:rFonts w:ascii="Arial" w:hAnsi="Arial" w:cs="Arial"/>
          <w:color w:val="010000"/>
          <w:sz w:val="20"/>
        </w:rPr>
        <w:t xml:space="preserve"> on the basis of optimizing cash flow and financial performance of the parties;</w:t>
      </w:r>
    </w:p>
    <w:p w14:paraId="645EEE0F" w14:textId="77777777" w:rsidR="00D73236" w:rsidRPr="00BA35F1" w:rsidRDefault="00177B25" w:rsidP="00E57633">
      <w:pPr>
        <w:pStyle w:val="Vnbnnidung0"/>
        <w:numPr>
          <w:ilvl w:val="0"/>
          <w:numId w:val="2"/>
        </w:numPr>
        <w:tabs>
          <w:tab w:val="left" w:pos="360"/>
          <w:tab w:val="left" w:pos="1063"/>
        </w:tabs>
        <w:spacing w:after="120" w:line="360" w:lineRule="auto"/>
        <w:ind w:firstLine="0"/>
        <w:jc w:val="both"/>
        <w:rPr>
          <w:rFonts w:ascii="Arial" w:hAnsi="Arial" w:cs="Arial"/>
          <w:color w:val="010000"/>
          <w:sz w:val="20"/>
        </w:rPr>
      </w:pPr>
      <w:r w:rsidRPr="00BA35F1">
        <w:rPr>
          <w:rFonts w:ascii="Arial" w:hAnsi="Arial" w:cs="Arial"/>
          <w:color w:val="010000"/>
          <w:sz w:val="20"/>
        </w:rPr>
        <w:t>Other transactions decided by the Board of Directors/General Manager of the Company at different times.</w:t>
      </w:r>
    </w:p>
    <w:p w14:paraId="28DF9775" w14:textId="77777777" w:rsidR="00D73236" w:rsidRPr="00BA35F1" w:rsidRDefault="00177B25" w:rsidP="00E57633">
      <w:pPr>
        <w:pStyle w:val="Vnbnnidung0"/>
        <w:tabs>
          <w:tab w:val="left" w:pos="360"/>
        </w:tabs>
        <w:spacing w:after="120" w:line="360" w:lineRule="auto"/>
        <w:ind w:firstLine="0"/>
        <w:jc w:val="both"/>
        <w:rPr>
          <w:rFonts w:ascii="Arial" w:hAnsi="Arial" w:cs="Arial"/>
          <w:color w:val="010000"/>
          <w:sz w:val="20"/>
        </w:rPr>
      </w:pPr>
      <w:r w:rsidRPr="00BA35F1">
        <w:rPr>
          <w:rFonts w:ascii="Arial" w:hAnsi="Arial" w:cs="Arial"/>
          <w:color w:val="010000"/>
          <w:sz w:val="20"/>
        </w:rPr>
        <w:t xml:space="preserve">Article 2: The Board of Directors assigns/authorizes the General Manager of the AAV Group JSC to decide: </w:t>
      </w:r>
    </w:p>
    <w:p w14:paraId="24C22D76" w14:textId="77777777" w:rsidR="00D73236" w:rsidRPr="00BA35F1" w:rsidRDefault="00177B25" w:rsidP="00E57633">
      <w:pPr>
        <w:pStyle w:val="Vnbnnidung0"/>
        <w:numPr>
          <w:ilvl w:val="0"/>
          <w:numId w:val="3"/>
        </w:numPr>
        <w:tabs>
          <w:tab w:val="left" w:pos="360"/>
          <w:tab w:val="left" w:pos="1063"/>
        </w:tabs>
        <w:spacing w:after="120" w:line="360" w:lineRule="auto"/>
        <w:ind w:firstLine="0"/>
        <w:jc w:val="both"/>
        <w:rPr>
          <w:rFonts w:ascii="Arial" w:hAnsi="Arial" w:cs="Arial"/>
          <w:color w:val="010000"/>
          <w:sz w:val="20"/>
        </w:rPr>
      </w:pPr>
      <w:r w:rsidRPr="00BA35F1">
        <w:rPr>
          <w:rFonts w:ascii="Arial" w:hAnsi="Arial" w:cs="Arial"/>
          <w:color w:val="010000"/>
          <w:sz w:val="20"/>
        </w:rPr>
        <w:t>Decide on the specific terms and conditions of the related transactions and contracts, agreements and documents related to affiliated transactions, including agreements of adjusting, supplementing, terminating, or replacing the related transactions (if any);</w:t>
      </w:r>
    </w:p>
    <w:p w14:paraId="4856C60F" w14:textId="77777777" w:rsidR="00D73236" w:rsidRPr="00BA35F1" w:rsidRDefault="00177B25" w:rsidP="00E57633">
      <w:pPr>
        <w:pStyle w:val="Vnbnnidung0"/>
        <w:numPr>
          <w:ilvl w:val="0"/>
          <w:numId w:val="3"/>
        </w:numPr>
        <w:tabs>
          <w:tab w:val="left" w:pos="360"/>
          <w:tab w:val="left" w:pos="1069"/>
        </w:tabs>
        <w:spacing w:after="120" w:line="360" w:lineRule="auto"/>
        <w:ind w:firstLine="0"/>
        <w:jc w:val="both"/>
        <w:rPr>
          <w:rFonts w:ascii="Arial" w:hAnsi="Arial" w:cs="Arial"/>
          <w:color w:val="010000"/>
          <w:sz w:val="20"/>
        </w:rPr>
      </w:pPr>
      <w:r w:rsidRPr="00BA35F1">
        <w:rPr>
          <w:rFonts w:ascii="Arial" w:hAnsi="Arial" w:cs="Arial"/>
          <w:color w:val="010000"/>
          <w:sz w:val="20"/>
        </w:rPr>
        <w:t>Sign and execute related transactions and contracts, agreements and documents, including agreements of adjusting, supplementing, terminating, or replacing the related transactions (if any);</w:t>
      </w:r>
    </w:p>
    <w:p w14:paraId="43F8FE26" w14:textId="77777777" w:rsidR="00D73236" w:rsidRPr="00BA35F1" w:rsidRDefault="00177B25" w:rsidP="00E57633">
      <w:pPr>
        <w:pStyle w:val="Vnbnnidung0"/>
        <w:tabs>
          <w:tab w:val="left" w:pos="360"/>
        </w:tabs>
        <w:spacing w:after="120" w:line="360" w:lineRule="auto"/>
        <w:ind w:firstLine="0"/>
        <w:jc w:val="both"/>
        <w:rPr>
          <w:rFonts w:ascii="Arial" w:hAnsi="Arial" w:cs="Arial"/>
          <w:color w:val="010000"/>
          <w:sz w:val="20"/>
        </w:rPr>
      </w:pPr>
      <w:r w:rsidRPr="00BA35F1">
        <w:rPr>
          <w:rFonts w:ascii="Arial" w:hAnsi="Arial" w:cs="Arial"/>
          <w:color w:val="010000"/>
          <w:sz w:val="20"/>
        </w:rPr>
        <w:t>Article 3: Terms of enforcement</w:t>
      </w:r>
    </w:p>
    <w:p w14:paraId="423AC355" w14:textId="77777777" w:rsidR="00D73236" w:rsidRPr="00BA35F1" w:rsidRDefault="00177B25" w:rsidP="00E57633">
      <w:pPr>
        <w:pStyle w:val="Vnbnnidung0"/>
        <w:numPr>
          <w:ilvl w:val="0"/>
          <w:numId w:val="4"/>
        </w:numPr>
        <w:tabs>
          <w:tab w:val="left" w:pos="360"/>
          <w:tab w:val="left" w:pos="1012"/>
        </w:tabs>
        <w:spacing w:after="120" w:line="360" w:lineRule="auto"/>
        <w:ind w:firstLine="0"/>
        <w:jc w:val="both"/>
        <w:rPr>
          <w:rFonts w:ascii="Arial" w:hAnsi="Arial" w:cs="Arial"/>
          <w:color w:val="010000"/>
          <w:sz w:val="20"/>
        </w:rPr>
      </w:pPr>
      <w:r w:rsidRPr="00BA35F1">
        <w:rPr>
          <w:rFonts w:ascii="Arial" w:hAnsi="Arial" w:cs="Arial"/>
          <w:color w:val="010000"/>
          <w:sz w:val="20"/>
        </w:rPr>
        <w:t>This Board Resolution takes effect from the date of its signing.</w:t>
      </w:r>
    </w:p>
    <w:p w14:paraId="63647150" w14:textId="77777777" w:rsidR="00D73236" w:rsidRPr="00BA35F1" w:rsidRDefault="00177B25" w:rsidP="00E57633">
      <w:pPr>
        <w:pStyle w:val="Vnbnnidung0"/>
        <w:numPr>
          <w:ilvl w:val="0"/>
          <w:numId w:val="4"/>
        </w:numPr>
        <w:tabs>
          <w:tab w:val="left" w:pos="360"/>
          <w:tab w:val="left" w:pos="1063"/>
        </w:tabs>
        <w:spacing w:after="120" w:line="360" w:lineRule="auto"/>
        <w:ind w:firstLine="0"/>
        <w:jc w:val="both"/>
        <w:rPr>
          <w:rFonts w:ascii="Arial" w:hAnsi="Arial" w:cs="Arial"/>
          <w:color w:val="010000"/>
          <w:sz w:val="20"/>
        </w:rPr>
        <w:sectPr w:rsidR="00D73236" w:rsidRPr="00BA35F1" w:rsidSect="000E397E">
          <w:pgSz w:w="11909" w:h="16840"/>
          <w:pgMar w:top="1440" w:right="1440" w:bottom="1440" w:left="1440" w:header="0" w:footer="3" w:gutter="0"/>
          <w:cols w:space="720"/>
          <w:noEndnote/>
          <w:docGrid w:linePitch="360"/>
        </w:sectPr>
      </w:pPr>
      <w:r w:rsidRPr="00BA35F1">
        <w:rPr>
          <w:rFonts w:ascii="Arial" w:hAnsi="Arial" w:cs="Arial"/>
          <w:color w:val="010000"/>
          <w:sz w:val="20"/>
        </w:rPr>
        <w:t>Members of the Board of Directors, the Board of Management and Heads of related departments, individuals are responsible for the implementation of this Resolution.</w:t>
      </w:r>
    </w:p>
    <w:p w14:paraId="2E4346A1" w14:textId="77777777" w:rsidR="00D73236" w:rsidRPr="00BA35F1" w:rsidRDefault="00D73236" w:rsidP="00E57633">
      <w:pPr>
        <w:tabs>
          <w:tab w:val="left" w:pos="360"/>
        </w:tabs>
        <w:spacing w:after="120" w:line="360" w:lineRule="auto"/>
        <w:jc w:val="both"/>
        <w:rPr>
          <w:rFonts w:ascii="Arial" w:hAnsi="Arial" w:cs="Arial"/>
          <w:color w:val="010000"/>
          <w:sz w:val="20"/>
        </w:rPr>
      </w:pPr>
    </w:p>
    <w:sectPr w:rsidR="00D73236" w:rsidRPr="00BA35F1" w:rsidSect="000E397E">
      <w:type w:val="continuous"/>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608E6" w14:textId="77777777" w:rsidR="00177B25" w:rsidRDefault="00177B25">
      <w:r>
        <w:separator/>
      </w:r>
    </w:p>
  </w:endnote>
  <w:endnote w:type="continuationSeparator" w:id="0">
    <w:p w14:paraId="0E72D6E4" w14:textId="77777777" w:rsidR="00177B25" w:rsidRDefault="0017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331C8" w14:textId="77777777" w:rsidR="00177B25" w:rsidRDefault="00177B25"/>
  </w:footnote>
  <w:footnote w:type="continuationSeparator" w:id="0">
    <w:p w14:paraId="33294ADA" w14:textId="77777777" w:rsidR="00177B25" w:rsidRDefault="00177B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D128C"/>
    <w:multiLevelType w:val="multilevel"/>
    <w:tmpl w:val="CF84A75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69641F"/>
    <w:multiLevelType w:val="multilevel"/>
    <w:tmpl w:val="92ECF66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BD5EE4"/>
    <w:multiLevelType w:val="multilevel"/>
    <w:tmpl w:val="74F458A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B76FFF"/>
    <w:multiLevelType w:val="multilevel"/>
    <w:tmpl w:val="FDD4661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616A33"/>
    <w:multiLevelType w:val="multilevel"/>
    <w:tmpl w:val="08C27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36"/>
    <w:rsid w:val="000E397E"/>
    <w:rsid w:val="00177B25"/>
    <w:rsid w:val="004D2F25"/>
    <w:rsid w:val="008235CD"/>
    <w:rsid w:val="008364E9"/>
    <w:rsid w:val="00837F52"/>
    <w:rsid w:val="00BA35F1"/>
    <w:rsid w:val="00D73236"/>
    <w:rsid w:val="00D872BD"/>
    <w:rsid w:val="00E57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1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66"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76" w:lineRule="auto"/>
      <w:ind w:left="1750"/>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66"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76" w:lineRule="auto"/>
      <w:ind w:left="1750"/>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1632</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000000013281105_2024_01_20_CBTT_NQ_thon...lien_quan_phat_sinh_trong_nam_2024.pdf</dc:title>
  <dc:subject/>
  <dc:creator>H£i NguyÅn</dc:creator>
  <cp:keywords/>
  <cp:lastModifiedBy>Tran Ha Anh</cp:lastModifiedBy>
  <cp:revision>8</cp:revision>
  <dcterms:created xsi:type="dcterms:W3CDTF">2024-01-23T03:30:00Z</dcterms:created>
  <dcterms:modified xsi:type="dcterms:W3CDTF">2024-01-24T07:51:00Z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9097bb1a0921e2dd8f41fd8b018e2b9162d997ff2fda280d5e6cc744c85c1b85</vt:lpwstr>
  </property>
</Properties>
</file>