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1001A" w14:textId="77777777" w:rsidR="00817A93" w:rsidRPr="00BB0B45" w:rsidRDefault="00F25D9E" w:rsidP="00E40643">
      <w:pPr>
        <w:pBdr>
          <w:top w:val="nil"/>
          <w:left w:val="nil"/>
          <w:bottom w:val="nil"/>
          <w:right w:val="nil"/>
          <w:between w:val="nil"/>
        </w:pBdr>
        <w:tabs>
          <w:tab w:val="left" w:pos="360"/>
          <w:tab w:val="left" w:pos="450"/>
          <w:tab w:val="left" w:pos="7093"/>
        </w:tabs>
        <w:spacing w:after="120" w:line="360" w:lineRule="auto"/>
        <w:jc w:val="both"/>
        <w:rPr>
          <w:rFonts w:ascii="Arial" w:eastAsia="Arial" w:hAnsi="Arial" w:cs="Arial"/>
          <w:b/>
          <w:color w:val="010000"/>
          <w:sz w:val="20"/>
          <w:szCs w:val="20"/>
        </w:rPr>
      </w:pPr>
      <w:r w:rsidRPr="00BB0B45">
        <w:rPr>
          <w:rFonts w:ascii="Arial" w:hAnsi="Arial" w:cs="Arial"/>
          <w:b/>
          <w:color w:val="010000"/>
          <w:sz w:val="20"/>
        </w:rPr>
        <w:t xml:space="preserve">PMC: Board Resolution </w:t>
      </w:r>
    </w:p>
    <w:p w14:paraId="30D1001B" w14:textId="77777777" w:rsidR="00817A93" w:rsidRPr="00BB0B45" w:rsidRDefault="00F25D9E" w:rsidP="00E40643">
      <w:pPr>
        <w:pBdr>
          <w:top w:val="nil"/>
          <w:left w:val="nil"/>
          <w:bottom w:val="nil"/>
          <w:right w:val="nil"/>
          <w:between w:val="nil"/>
        </w:pBdr>
        <w:tabs>
          <w:tab w:val="left" w:pos="360"/>
          <w:tab w:val="left" w:pos="450"/>
          <w:tab w:val="left" w:pos="7093"/>
        </w:tabs>
        <w:spacing w:after="120" w:line="360" w:lineRule="auto"/>
        <w:jc w:val="both"/>
        <w:rPr>
          <w:rFonts w:ascii="Arial" w:eastAsia="Arial" w:hAnsi="Arial" w:cs="Arial"/>
          <w:color w:val="010000"/>
          <w:sz w:val="20"/>
          <w:szCs w:val="20"/>
        </w:rPr>
      </w:pPr>
      <w:r w:rsidRPr="00BB0B45">
        <w:rPr>
          <w:rFonts w:ascii="Arial" w:hAnsi="Arial" w:cs="Arial"/>
          <w:color w:val="010000"/>
          <w:sz w:val="20"/>
        </w:rPr>
        <w:t xml:space="preserve">On January 18, 2024, </w:t>
      </w:r>
      <w:proofErr w:type="spellStart"/>
      <w:r w:rsidRPr="00BB0B45">
        <w:rPr>
          <w:rFonts w:ascii="Arial" w:hAnsi="Arial" w:cs="Arial"/>
          <w:color w:val="010000"/>
          <w:sz w:val="20"/>
        </w:rPr>
        <w:t>Pharmedic</w:t>
      </w:r>
      <w:proofErr w:type="spellEnd"/>
      <w:r w:rsidRPr="00BB0B45">
        <w:rPr>
          <w:rFonts w:ascii="Arial" w:hAnsi="Arial" w:cs="Arial"/>
          <w:color w:val="010000"/>
          <w:sz w:val="20"/>
        </w:rPr>
        <w:t xml:space="preserve"> Pharmaceutical Medicinal JSC announced Resolution No. 05/NQ-HDQT as follows:</w:t>
      </w:r>
      <w:bookmarkStart w:id="0" w:name="_GoBack"/>
      <w:bookmarkEnd w:id="0"/>
    </w:p>
    <w:p w14:paraId="30D1001C" w14:textId="77777777" w:rsidR="00817A93" w:rsidRPr="00BB0B45" w:rsidRDefault="00F25D9E" w:rsidP="00E40643">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B0B45">
        <w:rPr>
          <w:rFonts w:ascii="Arial" w:hAnsi="Arial" w:cs="Arial"/>
          <w:color w:val="010000"/>
          <w:sz w:val="20"/>
        </w:rPr>
        <w:t>Article 1: The Board of Directors approves the adjustment to production, business and financial plans for 2024 as follows:</w:t>
      </w:r>
    </w:p>
    <w:p w14:paraId="30D1001D" w14:textId="2184AFBE" w:rsidR="00817A93" w:rsidRPr="00BB0B45" w:rsidRDefault="00F25D9E" w:rsidP="00E40643">
      <w:pPr>
        <w:numPr>
          <w:ilvl w:val="0"/>
          <w:numId w:val="2"/>
        </w:numPr>
        <w:pBdr>
          <w:top w:val="nil"/>
          <w:left w:val="nil"/>
          <w:bottom w:val="nil"/>
          <w:right w:val="nil"/>
          <w:between w:val="nil"/>
        </w:pBdr>
        <w:tabs>
          <w:tab w:val="left" w:pos="360"/>
          <w:tab w:val="left" w:pos="450"/>
          <w:tab w:val="left" w:pos="2655"/>
        </w:tabs>
        <w:spacing w:after="120" w:line="360" w:lineRule="auto"/>
        <w:jc w:val="both"/>
        <w:rPr>
          <w:rFonts w:ascii="Arial" w:eastAsia="Arial" w:hAnsi="Arial" w:cs="Arial"/>
          <w:color w:val="010000"/>
          <w:sz w:val="20"/>
          <w:szCs w:val="20"/>
        </w:rPr>
      </w:pPr>
      <w:r w:rsidRPr="00BB0B45">
        <w:rPr>
          <w:rFonts w:ascii="Arial" w:hAnsi="Arial" w:cs="Arial"/>
          <w:color w:val="010000"/>
          <w:sz w:val="20"/>
        </w:rPr>
        <w:t xml:space="preserve">Total revenue: VND 492 billion (of which net revenue from main production and business activities is </w:t>
      </w:r>
      <w:r w:rsidR="00BB0B45" w:rsidRPr="00BB0B45">
        <w:rPr>
          <w:rFonts w:ascii="Arial" w:hAnsi="Arial" w:cs="Arial"/>
          <w:color w:val="010000"/>
          <w:sz w:val="20"/>
        </w:rPr>
        <w:t xml:space="preserve">VND </w:t>
      </w:r>
      <w:r w:rsidRPr="00BB0B45">
        <w:rPr>
          <w:rFonts w:ascii="Arial" w:hAnsi="Arial" w:cs="Arial"/>
          <w:color w:val="010000"/>
          <w:sz w:val="20"/>
        </w:rPr>
        <w:t>486 billion).</w:t>
      </w:r>
    </w:p>
    <w:p w14:paraId="30D1001E" w14:textId="77777777" w:rsidR="00817A93" w:rsidRPr="00BB0B45" w:rsidRDefault="00F25D9E" w:rsidP="00E40643">
      <w:pPr>
        <w:numPr>
          <w:ilvl w:val="0"/>
          <w:numId w:val="2"/>
        </w:numPr>
        <w:pBdr>
          <w:top w:val="nil"/>
          <w:left w:val="nil"/>
          <w:bottom w:val="nil"/>
          <w:right w:val="nil"/>
          <w:between w:val="nil"/>
        </w:pBdr>
        <w:tabs>
          <w:tab w:val="left" w:pos="360"/>
          <w:tab w:val="left" w:pos="450"/>
          <w:tab w:val="left" w:pos="2655"/>
        </w:tabs>
        <w:spacing w:after="120" w:line="360" w:lineRule="auto"/>
        <w:jc w:val="both"/>
        <w:rPr>
          <w:rFonts w:ascii="Arial" w:eastAsia="Arial" w:hAnsi="Arial" w:cs="Arial"/>
          <w:color w:val="010000"/>
          <w:sz w:val="20"/>
          <w:szCs w:val="20"/>
        </w:rPr>
      </w:pPr>
      <w:r w:rsidRPr="00BB0B45">
        <w:rPr>
          <w:rFonts w:ascii="Arial" w:hAnsi="Arial" w:cs="Arial"/>
          <w:color w:val="010000"/>
          <w:sz w:val="20"/>
        </w:rPr>
        <w:t>Total profit before tax: VND 91 billion.</w:t>
      </w:r>
    </w:p>
    <w:p w14:paraId="30D10020" w14:textId="5FAF5DD5" w:rsidR="00817A93" w:rsidRDefault="00F25D9E" w:rsidP="00E40643">
      <w:pPr>
        <w:pBdr>
          <w:top w:val="nil"/>
          <w:left w:val="nil"/>
          <w:bottom w:val="nil"/>
          <w:right w:val="nil"/>
          <w:between w:val="nil"/>
        </w:pBdr>
        <w:tabs>
          <w:tab w:val="left" w:pos="360"/>
          <w:tab w:val="left" w:pos="450"/>
        </w:tabs>
        <w:spacing w:after="120" w:line="360" w:lineRule="auto"/>
        <w:jc w:val="both"/>
        <w:rPr>
          <w:rFonts w:ascii="Arial" w:hAnsi="Arial" w:cs="Arial"/>
          <w:color w:val="010000"/>
          <w:sz w:val="20"/>
        </w:rPr>
      </w:pPr>
      <w:r w:rsidRPr="00BB0B45">
        <w:rPr>
          <w:rFonts w:ascii="Arial" w:hAnsi="Arial" w:cs="Arial"/>
          <w:color w:val="010000"/>
          <w:sz w:val="20"/>
        </w:rPr>
        <w:t>Article 2: This Resolution takes effect from the date of its signing. Members of the Board of Directors, the Board of Management and related departments are responsible for the implementation of this Resolution.</w:t>
      </w:r>
    </w:p>
    <w:p w14:paraId="65AFA5F8" w14:textId="294F5CAE" w:rsidR="00D827D9" w:rsidRDefault="00D827D9" w:rsidP="00E40643">
      <w:pPr>
        <w:pBdr>
          <w:top w:val="nil"/>
          <w:left w:val="nil"/>
          <w:bottom w:val="single" w:sz="6" w:space="1" w:color="auto"/>
          <w:right w:val="nil"/>
          <w:between w:val="nil"/>
        </w:pBdr>
        <w:tabs>
          <w:tab w:val="left" w:pos="360"/>
          <w:tab w:val="left" w:pos="450"/>
        </w:tabs>
        <w:spacing w:after="120" w:line="360" w:lineRule="auto"/>
        <w:jc w:val="both"/>
        <w:rPr>
          <w:rFonts w:ascii="Arial" w:hAnsi="Arial" w:cs="Arial"/>
          <w:color w:val="010000"/>
          <w:sz w:val="20"/>
        </w:rPr>
      </w:pPr>
    </w:p>
    <w:p w14:paraId="30D10021" w14:textId="77777777" w:rsidR="00817A93" w:rsidRPr="00BB0B45" w:rsidRDefault="00F25D9E" w:rsidP="00E40643">
      <w:pPr>
        <w:pBdr>
          <w:top w:val="nil"/>
          <w:left w:val="nil"/>
          <w:bottom w:val="nil"/>
          <w:right w:val="nil"/>
          <w:between w:val="nil"/>
        </w:pBdr>
        <w:tabs>
          <w:tab w:val="left" w:pos="360"/>
          <w:tab w:val="left" w:pos="450"/>
          <w:tab w:val="left" w:pos="7093"/>
        </w:tabs>
        <w:spacing w:after="120" w:line="360" w:lineRule="auto"/>
        <w:jc w:val="both"/>
        <w:rPr>
          <w:rFonts w:ascii="Arial" w:eastAsia="Arial" w:hAnsi="Arial" w:cs="Arial"/>
          <w:color w:val="010000"/>
          <w:sz w:val="20"/>
          <w:szCs w:val="20"/>
        </w:rPr>
      </w:pPr>
      <w:r w:rsidRPr="00BB0B45">
        <w:rPr>
          <w:rFonts w:ascii="Arial" w:hAnsi="Arial" w:cs="Arial"/>
          <w:color w:val="010000"/>
          <w:sz w:val="20"/>
        </w:rPr>
        <w:t xml:space="preserve">On January 18, 2024, </w:t>
      </w:r>
      <w:proofErr w:type="spellStart"/>
      <w:r w:rsidRPr="00BB0B45">
        <w:rPr>
          <w:rFonts w:ascii="Arial" w:hAnsi="Arial" w:cs="Arial"/>
          <w:color w:val="010000"/>
          <w:sz w:val="20"/>
        </w:rPr>
        <w:t>Pharmedic</w:t>
      </w:r>
      <w:proofErr w:type="spellEnd"/>
      <w:r w:rsidRPr="00BB0B45">
        <w:rPr>
          <w:rFonts w:ascii="Arial" w:hAnsi="Arial" w:cs="Arial"/>
          <w:color w:val="010000"/>
          <w:sz w:val="20"/>
        </w:rPr>
        <w:t xml:space="preserve"> Pharmaceutical Medicinal JSC announced Resolution No. 06/NQ-HDQT as follows:</w:t>
      </w:r>
    </w:p>
    <w:p w14:paraId="30D10022" w14:textId="77777777" w:rsidR="00817A93" w:rsidRPr="00BB0B45" w:rsidRDefault="00F25D9E" w:rsidP="00E40643">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B0B45">
        <w:rPr>
          <w:rFonts w:ascii="Arial" w:hAnsi="Arial" w:cs="Arial"/>
          <w:color w:val="010000"/>
          <w:sz w:val="20"/>
        </w:rPr>
        <w:t>Article 1. The Board of Directors approves:</w:t>
      </w:r>
    </w:p>
    <w:p w14:paraId="30D10023" w14:textId="1B67BAE3" w:rsidR="00817A93" w:rsidRPr="00BB0B45" w:rsidRDefault="00F25D9E" w:rsidP="00E40643">
      <w:pPr>
        <w:numPr>
          <w:ilvl w:val="0"/>
          <w:numId w:val="3"/>
        </w:numPr>
        <w:pBdr>
          <w:top w:val="nil"/>
          <w:left w:val="nil"/>
          <w:bottom w:val="nil"/>
          <w:right w:val="nil"/>
          <w:between w:val="nil"/>
        </w:pBdr>
        <w:tabs>
          <w:tab w:val="left" w:pos="360"/>
          <w:tab w:val="left" w:pos="450"/>
          <w:tab w:val="left" w:pos="2595"/>
        </w:tabs>
        <w:spacing w:after="120" w:line="360" w:lineRule="auto"/>
        <w:jc w:val="both"/>
        <w:rPr>
          <w:rFonts w:ascii="Arial" w:eastAsia="Arial" w:hAnsi="Arial" w:cs="Arial"/>
          <w:color w:val="010000"/>
          <w:sz w:val="20"/>
          <w:szCs w:val="20"/>
        </w:rPr>
      </w:pPr>
      <w:r w:rsidRPr="00BB0B45">
        <w:rPr>
          <w:rFonts w:ascii="Arial" w:hAnsi="Arial" w:cs="Arial"/>
          <w:color w:val="010000"/>
          <w:sz w:val="20"/>
        </w:rPr>
        <w:t>The Annual General Meeting of Shareholders 2023 approves the dividend payment with the rate of 24%</w:t>
      </w:r>
      <w:r w:rsidR="00D827D9">
        <w:rPr>
          <w:rFonts w:ascii="Arial" w:hAnsi="Arial" w:cs="Arial"/>
          <w:color w:val="010000"/>
          <w:sz w:val="20"/>
        </w:rPr>
        <w:t xml:space="preserve"> of </w:t>
      </w:r>
      <w:r w:rsidRPr="00BB0B45">
        <w:rPr>
          <w:rFonts w:ascii="Arial" w:hAnsi="Arial" w:cs="Arial"/>
          <w:color w:val="010000"/>
          <w:sz w:val="20"/>
        </w:rPr>
        <w:t>par value per year.</w:t>
      </w:r>
    </w:p>
    <w:p w14:paraId="30D10024" w14:textId="3DCF6623" w:rsidR="00817A93" w:rsidRPr="00BB0B45" w:rsidRDefault="00F25D9E" w:rsidP="00E40643">
      <w:pPr>
        <w:numPr>
          <w:ilvl w:val="0"/>
          <w:numId w:val="3"/>
        </w:numPr>
        <w:pBdr>
          <w:top w:val="nil"/>
          <w:left w:val="nil"/>
          <w:bottom w:val="nil"/>
          <w:right w:val="nil"/>
          <w:between w:val="nil"/>
        </w:pBdr>
        <w:tabs>
          <w:tab w:val="left" w:pos="360"/>
          <w:tab w:val="left" w:pos="450"/>
          <w:tab w:val="left" w:pos="2595"/>
        </w:tabs>
        <w:spacing w:after="120" w:line="360" w:lineRule="auto"/>
        <w:jc w:val="both"/>
        <w:rPr>
          <w:rFonts w:ascii="Arial" w:eastAsia="Arial" w:hAnsi="Arial" w:cs="Arial"/>
          <w:color w:val="010000"/>
          <w:sz w:val="20"/>
          <w:szCs w:val="20"/>
        </w:rPr>
      </w:pPr>
      <w:r w:rsidRPr="00BB0B45">
        <w:rPr>
          <w:rFonts w:ascii="Arial" w:hAnsi="Arial" w:cs="Arial"/>
          <w:color w:val="010000"/>
          <w:sz w:val="20"/>
        </w:rPr>
        <w:t>The dividend</w:t>
      </w:r>
      <w:r w:rsidR="00D827D9">
        <w:rPr>
          <w:rFonts w:ascii="Arial" w:hAnsi="Arial" w:cs="Arial"/>
          <w:color w:val="010000"/>
          <w:sz w:val="20"/>
        </w:rPr>
        <w:t xml:space="preserve"> prepayment</w:t>
      </w:r>
      <w:r w:rsidRPr="00BB0B45">
        <w:rPr>
          <w:rFonts w:ascii="Arial" w:hAnsi="Arial" w:cs="Arial"/>
          <w:color w:val="010000"/>
          <w:sz w:val="20"/>
        </w:rPr>
        <w:t xml:space="preserve"> in cash for the first period of 2023 is 10% (p</w:t>
      </w:r>
      <w:r w:rsidR="00D827D9">
        <w:rPr>
          <w:rFonts w:ascii="Arial" w:hAnsi="Arial" w:cs="Arial"/>
          <w:color w:val="010000"/>
          <w:sz w:val="20"/>
        </w:rPr>
        <w:t>aid on</w:t>
      </w:r>
      <w:r w:rsidRPr="00BB0B45">
        <w:rPr>
          <w:rFonts w:ascii="Arial" w:hAnsi="Arial" w:cs="Arial"/>
          <w:color w:val="010000"/>
          <w:sz w:val="20"/>
        </w:rPr>
        <w:t xml:space="preserve"> September 29, 2023).</w:t>
      </w:r>
    </w:p>
    <w:p w14:paraId="30D10025" w14:textId="7CFF2373" w:rsidR="00817A93" w:rsidRPr="00BB0B45" w:rsidRDefault="00F25D9E" w:rsidP="00E40643">
      <w:pPr>
        <w:numPr>
          <w:ilvl w:val="0"/>
          <w:numId w:val="3"/>
        </w:numPr>
        <w:pBdr>
          <w:top w:val="nil"/>
          <w:left w:val="nil"/>
          <w:bottom w:val="nil"/>
          <w:right w:val="nil"/>
          <w:between w:val="nil"/>
        </w:pBdr>
        <w:tabs>
          <w:tab w:val="left" w:pos="360"/>
          <w:tab w:val="left" w:pos="450"/>
          <w:tab w:val="left" w:pos="2595"/>
        </w:tabs>
        <w:spacing w:after="120" w:line="360" w:lineRule="auto"/>
        <w:jc w:val="both"/>
        <w:rPr>
          <w:rFonts w:ascii="Arial" w:eastAsia="Arial" w:hAnsi="Arial" w:cs="Arial"/>
          <w:color w:val="010000"/>
          <w:sz w:val="20"/>
          <w:szCs w:val="20"/>
        </w:rPr>
      </w:pPr>
      <w:r w:rsidRPr="00BB0B45">
        <w:rPr>
          <w:rFonts w:ascii="Arial" w:hAnsi="Arial" w:cs="Arial"/>
          <w:color w:val="010000"/>
          <w:sz w:val="20"/>
        </w:rPr>
        <w:t xml:space="preserve">The dividend </w:t>
      </w:r>
      <w:r w:rsidR="00D827D9">
        <w:rPr>
          <w:rFonts w:ascii="Arial" w:hAnsi="Arial" w:cs="Arial"/>
          <w:color w:val="010000"/>
          <w:sz w:val="20"/>
        </w:rPr>
        <w:t>prepayment</w:t>
      </w:r>
      <w:r w:rsidR="00D827D9" w:rsidRPr="00BB0B45">
        <w:rPr>
          <w:rFonts w:ascii="Arial" w:hAnsi="Arial" w:cs="Arial"/>
          <w:color w:val="010000"/>
          <w:sz w:val="20"/>
        </w:rPr>
        <w:t xml:space="preserve"> </w:t>
      </w:r>
      <w:r w:rsidRPr="00BB0B45">
        <w:rPr>
          <w:rFonts w:ascii="Arial" w:hAnsi="Arial" w:cs="Arial"/>
          <w:color w:val="010000"/>
          <w:sz w:val="20"/>
        </w:rPr>
        <w:t xml:space="preserve">in cash for the second period of 2023 is 14% (expected payment </w:t>
      </w:r>
      <w:r w:rsidR="00D827D9">
        <w:rPr>
          <w:rFonts w:ascii="Arial" w:hAnsi="Arial" w:cs="Arial"/>
          <w:color w:val="010000"/>
          <w:sz w:val="20"/>
        </w:rPr>
        <w:t xml:space="preserve">in </w:t>
      </w:r>
      <w:r w:rsidRPr="00BB0B45">
        <w:rPr>
          <w:rFonts w:ascii="Arial" w:hAnsi="Arial" w:cs="Arial"/>
          <w:color w:val="010000"/>
          <w:sz w:val="20"/>
        </w:rPr>
        <w:t>April 2024).</w:t>
      </w:r>
    </w:p>
    <w:p w14:paraId="30D10026" w14:textId="3E74AA5E" w:rsidR="00817A93" w:rsidRPr="00BB0B45" w:rsidRDefault="00F25D9E" w:rsidP="00E40643">
      <w:pPr>
        <w:numPr>
          <w:ilvl w:val="0"/>
          <w:numId w:val="3"/>
        </w:numPr>
        <w:pBdr>
          <w:top w:val="nil"/>
          <w:left w:val="nil"/>
          <w:bottom w:val="nil"/>
          <w:right w:val="nil"/>
          <w:between w:val="nil"/>
        </w:pBdr>
        <w:tabs>
          <w:tab w:val="left" w:pos="360"/>
          <w:tab w:val="left" w:pos="450"/>
          <w:tab w:val="left" w:pos="2595"/>
        </w:tabs>
        <w:spacing w:after="120" w:line="360" w:lineRule="auto"/>
        <w:jc w:val="both"/>
        <w:rPr>
          <w:rFonts w:ascii="Arial" w:eastAsia="Arial" w:hAnsi="Arial" w:cs="Arial"/>
          <w:color w:val="010000"/>
          <w:sz w:val="20"/>
          <w:szCs w:val="20"/>
        </w:rPr>
      </w:pPr>
      <w:r w:rsidRPr="00BB0B45">
        <w:rPr>
          <w:rFonts w:ascii="Arial" w:hAnsi="Arial" w:cs="Arial"/>
          <w:color w:val="010000"/>
          <w:sz w:val="20"/>
        </w:rPr>
        <w:t xml:space="preserve">The change of the plan for profit distribution and appropriation of funds in 2023 according to Article 4 of </w:t>
      </w:r>
      <w:r w:rsidR="00D827D9">
        <w:rPr>
          <w:rFonts w:ascii="Arial" w:hAnsi="Arial" w:cs="Arial"/>
          <w:color w:val="010000"/>
          <w:sz w:val="20"/>
        </w:rPr>
        <w:t xml:space="preserve">General Mandate </w:t>
      </w:r>
      <w:r w:rsidRPr="00BB0B45">
        <w:rPr>
          <w:rFonts w:ascii="Arial" w:hAnsi="Arial" w:cs="Arial"/>
          <w:color w:val="010000"/>
          <w:sz w:val="20"/>
        </w:rPr>
        <w:t>No. 31/NQ-DHDCD-PMC dated April 22, 2023 and submitted to the Annual General Meeting of Shareholders 2024 as follows:</w:t>
      </w:r>
    </w:p>
    <w:p w14:paraId="30D10027" w14:textId="29CD51AA" w:rsidR="00817A93" w:rsidRPr="00BB0B45" w:rsidRDefault="00F25D9E" w:rsidP="00E40643">
      <w:pPr>
        <w:numPr>
          <w:ilvl w:val="0"/>
          <w:numId w:val="1"/>
        </w:numPr>
        <w:pBdr>
          <w:top w:val="nil"/>
          <w:left w:val="nil"/>
          <w:bottom w:val="nil"/>
          <w:right w:val="nil"/>
          <w:between w:val="nil"/>
        </w:pBdr>
        <w:tabs>
          <w:tab w:val="left" w:pos="360"/>
          <w:tab w:val="left" w:pos="450"/>
          <w:tab w:val="left" w:pos="2955"/>
        </w:tabs>
        <w:spacing w:after="120" w:line="360" w:lineRule="auto"/>
        <w:ind w:left="0" w:firstLine="0"/>
        <w:jc w:val="both"/>
        <w:rPr>
          <w:rFonts w:ascii="Arial" w:eastAsia="Arial" w:hAnsi="Arial" w:cs="Arial"/>
          <w:color w:val="010000"/>
          <w:sz w:val="20"/>
          <w:szCs w:val="20"/>
        </w:rPr>
      </w:pPr>
      <w:r w:rsidRPr="00BB0B45">
        <w:rPr>
          <w:rFonts w:ascii="Arial" w:hAnsi="Arial" w:cs="Arial"/>
          <w:color w:val="010000"/>
          <w:sz w:val="20"/>
        </w:rPr>
        <w:t xml:space="preserve">"Remaining profits </w:t>
      </w:r>
      <w:r w:rsidR="0072291B" w:rsidRPr="00BB0B45">
        <w:rPr>
          <w:rFonts w:ascii="Arial" w:hAnsi="Arial" w:cs="Arial"/>
          <w:color w:val="010000"/>
          <w:sz w:val="20"/>
        </w:rPr>
        <w:t>appropria</w:t>
      </w:r>
      <w:r w:rsidR="0072291B">
        <w:rPr>
          <w:rFonts w:ascii="Arial" w:hAnsi="Arial" w:cs="Arial"/>
          <w:color w:val="010000"/>
          <w:sz w:val="20"/>
        </w:rPr>
        <w:t xml:space="preserve">ted </w:t>
      </w:r>
      <w:r w:rsidR="00F2356C">
        <w:rPr>
          <w:rFonts w:ascii="Arial" w:hAnsi="Arial" w:cs="Arial"/>
          <w:color w:val="010000"/>
          <w:sz w:val="20"/>
        </w:rPr>
        <w:t>for the</w:t>
      </w:r>
      <w:r w:rsidRPr="00BB0B45">
        <w:rPr>
          <w:rFonts w:ascii="Arial" w:hAnsi="Arial" w:cs="Arial"/>
          <w:color w:val="010000"/>
          <w:sz w:val="20"/>
        </w:rPr>
        <w:t xml:space="preserve"> Development Investment Fund” section: Do not make an appropriation </w:t>
      </w:r>
      <w:r w:rsidR="00F2356C">
        <w:rPr>
          <w:rFonts w:ascii="Arial" w:hAnsi="Arial" w:cs="Arial"/>
          <w:color w:val="010000"/>
          <w:sz w:val="20"/>
        </w:rPr>
        <w:t xml:space="preserve">for </w:t>
      </w:r>
      <w:r w:rsidRPr="00BB0B45">
        <w:rPr>
          <w:rFonts w:ascii="Arial" w:hAnsi="Arial" w:cs="Arial"/>
          <w:color w:val="010000"/>
          <w:sz w:val="20"/>
        </w:rPr>
        <w:t>the Development Investment Fund and transfer this remaining profit to the "Dividends paid to shareholders" section.</w:t>
      </w:r>
    </w:p>
    <w:p w14:paraId="30D10028" w14:textId="77777777" w:rsidR="00817A93" w:rsidRPr="00BB0B45" w:rsidRDefault="00F25D9E" w:rsidP="00E40643">
      <w:pPr>
        <w:numPr>
          <w:ilvl w:val="0"/>
          <w:numId w:val="1"/>
        </w:numPr>
        <w:pBdr>
          <w:top w:val="nil"/>
          <w:left w:val="nil"/>
          <w:bottom w:val="nil"/>
          <w:right w:val="nil"/>
          <w:between w:val="nil"/>
        </w:pBdr>
        <w:tabs>
          <w:tab w:val="left" w:pos="360"/>
          <w:tab w:val="left" w:pos="450"/>
          <w:tab w:val="left" w:pos="2955"/>
        </w:tabs>
        <w:spacing w:after="120" w:line="360" w:lineRule="auto"/>
        <w:ind w:left="0" w:firstLine="0"/>
        <w:jc w:val="both"/>
        <w:rPr>
          <w:rFonts w:ascii="Arial" w:eastAsia="Arial" w:hAnsi="Arial" w:cs="Arial"/>
          <w:color w:val="010000"/>
          <w:sz w:val="20"/>
          <w:szCs w:val="20"/>
        </w:rPr>
      </w:pPr>
      <w:r w:rsidRPr="00BB0B45">
        <w:rPr>
          <w:rFonts w:ascii="Arial" w:hAnsi="Arial" w:cs="Arial"/>
          <w:color w:val="010000"/>
          <w:sz w:val="20"/>
        </w:rPr>
        <w:t>“Dividend payment rate” section: Adjust to increase from 24% to 65% of charter capital.</w:t>
      </w:r>
    </w:p>
    <w:p w14:paraId="30D10029" w14:textId="64D72D4D" w:rsidR="00817A93" w:rsidRPr="00BB0B45" w:rsidRDefault="00F25D9E" w:rsidP="00E40643">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B0B45">
        <w:rPr>
          <w:rFonts w:ascii="Arial" w:hAnsi="Arial" w:cs="Arial"/>
          <w:color w:val="010000"/>
          <w:sz w:val="20"/>
        </w:rPr>
        <w:t xml:space="preserve">Article 2. The Board of Directors approves the dividend payment rate </w:t>
      </w:r>
      <w:r w:rsidR="00926CE4">
        <w:rPr>
          <w:rFonts w:ascii="Arial" w:hAnsi="Arial" w:cs="Arial"/>
          <w:color w:val="010000"/>
          <w:sz w:val="20"/>
        </w:rPr>
        <w:t>at</w:t>
      </w:r>
      <w:r w:rsidRPr="00BB0B45">
        <w:rPr>
          <w:rFonts w:ascii="Arial" w:hAnsi="Arial" w:cs="Arial"/>
          <w:color w:val="010000"/>
          <w:sz w:val="20"/>
        </w:rPr>
        <w:t xml:space="preserve"> 24% in 2024 and submits </w:t>
      </w:r>
      <w:r w:rsidR="006C6221">
        <w:rPr>
          <w:rFonts w:ascii="Arial" w:hAnsi="Arial" w:cs="Arial"/>
          <w:color w:val="010000"/>
          <w:sz w:val="20"/>
        </w:rPr>
        <w:t xml:space="preserve">it </w:t>
      </w:r>
      <w:r w:rsidRPr="00BB0B45">
        <w:rPr>
          <w:rFonts w:ascii="Arial" w:hAnsi="Arial" w:cs="Arial"/>
          <w:color w:val="010000"/>
          <w:sz w:val="20"/>
        </w:rPr>
        <w:t>to the Annual General Meeting of Shareholders 2024.</w:t>
      </w:r>
    </w:p>
    <w:p w14:paraId="30D1002A" w14:textId="77777777" w:rsidR="00817A93" w:rsidRPr="00BB0B45" w:rsidRDefault="00F25D9E" w:rsidP="00E40643">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B0B45">
        <w:rPr>
          <w:rFonts w:ascii="Arial" w:hAnsi="Arial" w:cs="Arial"/>
          <w:color w:val="010000"/>
          <w:sz w:val="20"/>
        </w:rPr>
        <w:t>Article 3: This Resolution takes effect from the date of its signing. Assign the General Manager to implement this Resolution.</w:t>
      </w:r>
    </w:p>
    <w:sectPr w:rsidR="00817A93" w:rsidRPr="00BB0B45" w:rsidSect="00E44A9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491"/>
    <w:multiLevelType w:val="multilevel"/>
    <w:tmpl w:val="79B815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71F6FDB"/>
    <w:multiLevelType w:val="multilevel"/>
    <w:tmpl w:val="06E8677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10A3867"/>
    <w:multiLevelType w:val="multilevel"/>
    <w:tmpl w:val="4B14ABB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93"/>
    <w:rsid w:val="00011FB9"/>
    <w:rsid w:val="006C6221"/>
    <w:rsid w:val="006E0B06"/>
    <w:rsid w:val="0072291B"/>
    <w:rsid w:val="00817A93"/>
    <w:rsid w:val="00926CE4"/>
    <w:rsid w:val="00BB0B45"/>
    <w:rsid w:val="00D827D9"/>
    <w:rsid w:val="00E40643"/>
    <w:rsid w:val="00E44A97"/>
    <w:rsid w:val="00F2356C"/>
    <w:rsid w:val="00F25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001A"/>
  <w15:docId w15:val="{EA5E26C7-012C-46CD-AF90-20CAAAB7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YAjC7T+jCgZIDm42qkz8mPnO+w==">CgMxLjA4AHIhMTEwRDJJY2QxQUJiTGE1aWsxbjRzWTY5TDF3UEFtLVlY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11</cp:revision>
  <dcterms:created xsi:type="dcterms:W3CDTF">2024-01-23T05:19:00Z</dcterms:created>
  <dcterms:modified xsi:type="dcterms:W3CDTF">2024-01-24T07:54:00Z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d81235ab1e31147746470de7fac2c9b2ab63016265222a14c092b212fc3510cc</vt:lpwstr>
  </property>
</Properties>
</file>