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87A9C" w14:textId="69BE03EF" w:rsidR="00B10E79" w:rsidRPr="0071547C" w:rsidRDefault="00B8327C" w:rsidP="0071547C">
      <w:pPr>
        <w:pBdr>
          <w:top w:val="nil"/>
          <w:left w:val="nil"/>
          <w:bottom w:val="nil"/>
          <w:right w:val="nil"/>
          <w:between w:val="nil"/>
        </w:pBdr>
        <w:tabs>
          <w:tab w:val="left" w:pos="360"/>
          <w:tab w:val="left" w:pos="3879"/>
          <w:tab w:val="left" w:pos="6096"/>
        </w:tabs>
        <w:spacing w:after="120" w:line="360" w:lineRule="auto"/>
        <w:rPr>
          <w:rFonts w:ascii="Arial" w:eastAsia="Arial" w:hAnsi="Arial" w:cs="Arial"/>
          <w:b/>
          <w:color w:val="010000"/>
          <w:sz w:val="20"/>
          <w:szCs w:val="20"/>
        </w:rPr>
      </w:pPr>
      <w:bookmarkStart w:id="0" w:name="_GoBack"/>
      <w:bookmarkEnd w:id="0"/>
      <w:proofErr w:type="spellStart"/>
      <w:r w:rsidRPr="0071547C">
        <w:rPr>
          <w:rFonts w:ascii="Arial" w:hAnsi="Arial" w:cs="Arial"/>
          <w:b/>
          <w:color w:val="010000"/>
          <w:sz w:val="20"/>
        </w:rPr>
        <w:t>SKH</w:t>
      </w:r>
      <w:proofErr w:type="spellEnd"/>
      <w:r w:rsidRPr="0071547C">
        <w:rPr>
          <w:rFonts w:ascii="Arial" w:hAnsi="Arial" w:cs="Arial"/>
          <w:b/>
          <w:color w:val="010000"/>
          <w:sz w:val="20"/>
        </w:rPr>
        <w:t>: Board Resolution</w:t>
      </w:r>
    </w:p>
    <w:p w14:paraId="7C487A9D" w14:textId="77777777" w:rsidR="00B10E79" w:rsidRPr="0071547C" w:rsidRDefault="00B8327C" w:rsidP="0071547C">
      <w:pPr>
        <w:pBdr>
          <w:top w:val="nil"/>
          <w:left w:val="nil"/>
          <w:bottom w:val="nil"/>
          <w:right w:val="nil"/>
          <w:between w:val="nil"/>
        </w:pBdr>
        <w:tabs>
          <w:tab w:val="left" w:pos="360"/>
          <w:tab w:val="left" w:pos="3879"/>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 xml:space="preserve">On January 22, 2024, </w:t>
      </w:r>
      <w:proofErr w:type="spellStart"/>
      <w:r w:rsidRPr="0071547C">
        <w:rPr>
          <w:rFonts w:ascii="Arial" w:hAnsi="Arial" w:cs="Arial"/>
          <w:color w:val="010000"/>
          <w:sz w:val="20"/>
        </w:rPr>
        <w:t>Khanh</w:t>
      </w:r>
      <w:proofErr w:type="spellEnd"/>
      <w:r w:rsidRPr="0071547C">
        <w:rPr>
          <w:rFonts w:ascii="Arial" w:hAnsi="Arial" w:cs="Arial"/>
          <w:color w:val="010000"/>
          <w:sz w:val="20"/>
        </w:rPr>
        <w:t xml:space="preserve"> </w:t>
      </w:r>
      <w:proofErr w:type="spellStart"/>
      <w:r w:rsidRPr="0071547C">
        <w:rPr>
          <w:rFonts w:ascii="Arial" w:hAnsi="Arial" w:cs="Arial"/>
          <w:color w:val="010000"/>
          <w:sz w:val="20"/>
        </w:rPr>
        <w:t>Hoa</w:t>
      </w:r>
      <w:proofErr w:type="spellEnd"/>
      <w:r w:rsidRPr="0071547C">
        <w:rPr>
          <w:rFonts w:ascii="Arial" w:hAnsi="Arial" w:cs="Arial"/>
          <w:color w:val="010000"/>
          <w:sz w:val="20"/>
        </w:rPr>
        <w:t xml:space="preserve"> Sanest Soft Drink Joint Stock Company announced Resolution No. 01/NQ-</w:t>
      </w:r>
      <w:proofErr w:type="spellStart"/>
      <w:r w:rsidRPr="0071547C">
        <w:rPr>
          <w:rFonts w:ascii="Arial" w:hAnsi="Arial" w:cs="Arial"/>
          <w:color w:val="010000"/>
          <w:sz w:val="20"/>
        </w:rPr>
        <w:t>SKH</w:t>
      </w:r>
      <w:proofErr w:type="spellEnd"/>
      <w:r w:rsidRPr="0071547C">
        <w:rPr>
          <w:rFonts w:ascii="Arial" w:hAnsi="Arial" w:cs="Arial"/>
          <w:color w:val="010000"/>
          <w:sz w:val="20"/>
        </w:rPr>
        <w:t xml:space="preserve"> on approving bank loan limits in 2024 as follows: </w:t>
      </w:r>
    </w:p>
    <w:p w14:paraId="7C487A9E" w14:textId="77777777" w:rsidR="00B10E79" w:rsidRPr="0071547C" w:rsidRDefault="00B8327C" w:rsidP="0071547C">
      <w:pPr>
        <w:pBdr>
          <w:top w:val="nil"/>
          <w:left w:val="nil"/>
          <w:bottom w:val="nil"/>
          <w:right w:val="nil"/>
          <w:between w:val="nil"/>
        </w:pBdr>
        <w:tabs>
          <w:tab w:val="left" w:pos="360"/>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Article 1: Approve the bank loan limit in 2024 to ensure the completion of the targets of the production and business plan, the specific loan contents are as follows:</w:t>
      </w:r>
    </w:p>
    <w:p w14:paraId="7C487A9F" w14:textId="77777777" w:rsidR="00B10E79" w:rsidRPr="0071547C" w:rsidRDefault="00B8327C" w:rsidP="0071547C">
      <w:pPr>
        <w:keepNext/>
        <w:numPr>
          <w:ilvl w:val="0"/>
          <w:numId w:val="1"/>
        </w:numPr>
        <w:pBdr>
          <w:top w:val="nil"/>
          <w:left w:val="nil"/>
          <w:bottom w:val="nil"/>
          <w:right w:val="nil"/>
          <w:between w:val="nil"/>
        </w:pBdr>
        <w:tabs>
          <w:tab w:val="left" w:pos="360"/>
          <w:tab w:val="left" w:pos="1025"/>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 xml:space="preserve">Vietnam Joint Stock Commercial Bank of Industry and Trade - </w:t>
      </w:r>
      <w:proofErr w:type="spellStart"/>
      <w:r w:rsidRPr="0071547C">
        <w:rPr>
          <w:rFonts w:ascii="Arial" w:hAnsi="Arial" w:cs="Arial"/>
          <w:color w:val="010000"/>
          <w:sz w:val="20"/>
        </w:rPr>
        <w:t>Khanh</w:t>
      </w:r>
      <w:proofErr w:type="spellEnd"/>
      <w:r w:rsidRPr="0071547C">
        <w:rPr>
          <w:rFonts w:ascii="Arial" w:hAnsi="Arial" w:cs="Arial"/>
          <w:color w:val="010000"/>
          <w:sz w:val="20"/>
        </w:rPr>
        <w:t xml:space="preserve"> </w:t>
      </w:r>
      <w:proofErr w:type="spellStart"/>
      <w:r w:rsidRPr="0071547C">
        <w:rPr>
          <w:rFonts w:ascii="Arial" w:hAnsi="Arial" w:cs="Arial"/>
          <w:color w:val="010000"/>
          <w:sz w:val="20"/>
        </w:rPr>
        <w:t>Hoa</w:t>
      </w:r>
      <w:proofErr w:type="spellEnd"/>
      <w:r w:rsidRPr="0071547C">
        <w:rPr>
          <w:rFonts w:ascii="Arial" w:hAnsi="Arial" w:cs="Arial"/>
          <w:color w:val="010000"/>
          <w:sz w:val="20"/>
        </w:rPr>
        <w:t xml:space="preserve"> Branch</w:t>
      </w:r>
    </w:p>
    <w:p w14:paraId="7C487AA0" w14:textId="77777777" w:rsidR="00B10E79" w:rsidRPr="0071547C" w:rsidRDefault="00B8327C" w:rsidP="0071547C">
      <w:pPr>
        <w:numPr>
          <w:ilvl w:val="0"/>
          <w:numId w:val="2"/>
        </w:numPr>
        <w:pBdr>
          <w:top w:val="nil"/>
          <w:left w:val="nil"/>
          <w:bottom w:val="nil"/>
          <w:right w:val="nil"/>
          <w:between w:val="nil"/>
        </w:pBdr>
        <w:tabs>
          <w:tab w:val="left" w:pos="360"/>
          <w:tab w:val="left" w:pos="952"/>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 xml:space="preserve">Loan limit: </w:t>
      </w:r>
      <w:proofErr w:type="spellStart"/>
      <w:r w:rsidRPr="0071547C">
        <w:rPr>
          <w:rFonts w:ascii="Arial" w:hAnsi="Arial" w:cs="Arial"/>
          <w:color w:val="010000"/>
          <w:sz w:val="20"/>
        </w:rPr>
        <w:t>VND</w:t>
      </w:r>
      <w:proofErr w:type="spellEnd"/>
      <w:r w:rsidRPr="0071547C">
        <w:rPr>
          <w:rFonts w:ascii="Arial" w:hAnsi="Arial" w:cs="Arial"/>
          <w:color w:val="010000"/>
          <w:sz w:val="20"/>
        </w:rPr>
        <w:t xml:space="preserve"> 100 billion;</w:t>
      </w:r>
    </w:p>
    <w:p w14:paraId="7C487AA1" w14:textId="77777777" w:rsidR="00B10E79" w:rsidRPr="0071547C" w:rsidRDefault="00B8327C" w:rsidP="0071547C">
      <w:pPr>
        <w:numPr>
          <w:ilvl w:val="0"/>
          <w:numId w:val="2"/>
        </w:numPr>
        <w:pBdr>
          <w:top w:val="nil"/>
          <w:left w:val="nil"/>
          <w:bottom w:val="nil"/>
          <w:right w:val="nil"/>
          <w:between w:val="nil"/>
        </w:pBdr>
        <w:tabs>
          <w:tab w:val="left" w:pos="360"/>
          <w:tab w:val="left" w:pos="933"/>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Loan purpose: Supplementing working capital for the Company's production and business activities in 2024.</w:t>
      </w:r>
    </w:p>
    <w:p w14:paraId="7C487AA2" w14:textId="77777777" w:rsidR="00B10E79" w:rsidRPr="0071547C" w:rsidRDefault="00B8327C" w:rsidP="0071547C">
      <w:pPr>
        <w:numPr>
          <w:ilvl w:val="0"/>
          <w:numId w:val="2"/>
        </w:numPr>
        <w:pBdr>
          <w:top w:val="nil"/>
          <w:left w:val="nil"/>
          <w:bottom w:val="nil"/>
          <w:right w:val="nil"/>
          <w:between w:val="nil"/>
        </w:pBdr>
        <w:tabs>
          <w:tab w:val="left" w:pos="360"/>
          <w:tab w:val="left" w:pos="952"/>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Loan limit maintenance period: 12 months.</w:t>
      </w:r>
    </w:p>
    <w:p w14:paraId="7C487AA3" w14:textId="36D93ACC" w:rsidR="00B10E79" w:rsidRPr="0071547C" w:rsidRDefault="00C34A6B" w:rsidP="0071547C">
      <w:pPr>
        <w:numPr>
          <w:ilvl w:val="0"/>
          <w:numId w:val="2"/>
        </w:numPr>
        <w:pBdr>
          <w:top w:val="nil"/>
          <w:left w:val="nil"/>
          <w:bottom w:val="nil"/>
          <w:right w:val="nil"/>
          <w:between w:val="nil"/>
        </w:pBdr>
        <w:tabs>
          <w:tab w:val="left" w:pos="360"/>
          <w:tab w:val="left" w:pos="952"/>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Collateral: None</w:t>
      </w:r>
    </w:p>
    <w:p w14:paraId="7C487AA4" w14:textId="77777777" w:rsidR="00B10E79" w:rsidRPr="0071547C" w:rsidRDefault="00B8327C" w:rsidP="0071547C">
      <w:pPr>
        <w:numPr>
          <w:ilvl w:val="0"/>
          <w:numId w:val="2"/>
        </w:numPr>
        <w:pBdr>
          <w:top w:val="nil"/>
          <w:left w:val="nil"/>
          <w:bottom w:val="nil"/>
          <w:right w:val="nil"/>
          <w:between w:val="nil"/>
        </w:pBdr>
        <w:tabs>
          <w:tab w:val="left" w:pos="360"/>
          <w:tab w:val="left" w:pos="932"/>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Loan payment sources: Revenue, profit from business activities of the Company</w:t>
      </w:r>
    </w:p>
    <w:p w14:paraId="7C487AA5" w14:textId="77777777" w:rsidR="00B10E79" w:rsidRPr="0071547C" w:rsidRDefault="00B8327C" w:rsidP="0071547C">
      <w:pPr>
        <w:keepNext/>
        <w:numPr>
          <w:ilvl w:val="0"/>
          <w:numId w:val="1"/>
        </w:numPr>
        <w:pBdr>
          <w:top w:val="nil"/>
          <w:left w:val="nil"/>
          <w:bottom w:val="nil"/>
          <w:right w:val="nil"/>
          <w:between w:val="nil"/>
        </w:pBdr>
        <w:tabs>
          <w:tab w:val="left" w:pos="360"/>
          <w:tab w:val="left" w:pos="1039"/>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 xml:space="preserve">Military Commercial Joint Stock Bank - </w:t>
      </w:r>
      <w:proofErr w:type="spellStart"/>
      <w:r w:rsidRPr="0071547C">
        <w:rPr>
          <w:rFonts w:ascii="Arial" w:hAnsi="Arial" w:cs="Arial"/>
          <w:color w:val="010000"/>
          <w:sz w:val="20"/>
        </w:rPr>
        <w:t>Khanh</w:t>
      </w:r>
      <w:proofErr w:type="spellEnd"/>
      <w:r w:rsidRPr="0071547C">
        <w:rPr>
          <w:rFonts w:ascii="Arial" w:hAnsi="Arial" w:cs="Arial"/>
          <w:color w:val="010000"/>
          <w:sz w:val="20"/>
        </w:rPr>
        <w:t xml:space="preserve"> </w:t>
      </w:r>
      <w:proofErr w:type="spellStart"/>
      <w:r w:rsidRPr="0071547C">
        <w:rPr>
          <w:rFonts w:ascii="Arial" w:hAnsi="Arial" w:cs="Arial"/>
          <w:color w:val="010000"/>
          <w:sz w:val="20"/>
        </w:rPr>
        <w:t>Hoa</w:t>
      </w:r>
      <w:proofErr w:type="spellEnd"/>
      <w:r w:rsidRPr="0071547C">
        <w:rPr>
          <w:rFonts w:ascii="Arial" w:hAnsi="Arial" w:cs="Arial"/>
          <w:color w:val="010000"/>
          <w:sz w:val="20"/>
        </w:rPr>
        <w:t xml:space="preserve"> Branch</w:t>
      </w:r>
    </w:p>
    <w:p w14:paraId="7C487AA6" w14:textId="77777777" w:rsidR="00B10E79" w:rsidRPr="0071547C" w:rsidRDefault="00B8327C" w:rsidP="0071547C">
      <w:pPr>
        <w:numPr>
          <w:ilvl w:val="0"/>
          <w:numId w:val="2"/>
        </w:numPr>
        <w:pBdr>
          <w:top w:val="nil"/>
          <w:left w:val="nil"/>
          <w:bottom w:val="nil"/>
          <w:right w:val="nil"/>
          <w:between w:val="nil"/>
        </w:pBdr>
        <w:tabs>
          <w:tab w:val="left" w:pos="360"/>
          <w:tab w:val="left" w:pos="956"/>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 xml:space="preserve">Loan limit: </w:t>
      </w:r>
      <w:proofErr w:type="spellStart"/>
      <w:r w:rsidRPr="0071547C">
        <w:rPr>
          <w:rFonts w:ascii="Arial" w:hAnsi="Arial" w:cs="Arial"/>
          <w:color w:val="010000"/>
          <w:sz w:val="20"/>
        </w:rPr>
        <w:t>VND</w:t>
      </w:r>
      <w:proofErr w:type="spellEnd"/>
      <w:r w:rsidRPr="0071547C">
        <w:rPr>
          <w:rFonts w:ascii="Arial" w:hAnsi="Arial" w:cs="Arial"/>
          <w:color w:val="010000"/>
          <w:sz w:val="20"/>
        </w:rPr>
        <w:t xml:space="preserve"> 100 billion;</w:t>
      </w:r>
    </w:p>
    <w:p w14:paraId="7C487AA7" w14:textId="77777777" w:rsidR="00B10E79" w:rsidRPr="0071547C" w:rsidRDefault="00B8327C" w:rsidP="0071547C">
      <w:pPr>
        <w:numPr>
          <w:ilvl w:val="0"/>
          <w:numId w:val="2"/>
        </w:numPr>
        <w:pBdr>
          <w:top w:val="nil"/>
          <w:left w:val="nil"/>
          <w:bottom w:val="nil"/>
          <w:right w:val="nil"/>
          <w:between w:val="nil"/>
        </w:pBdr>
        <w:tabs>
          <w:tab w:val="left" w:pos="360"/>
          <w:tab w:val="left" w:pos="938"/>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Loan purpose: Supplement working capital for production and business activities in 2024 of the Company.</w:t>
      </w:r>
    </w:p>
    <w:p w14:paraId="7C487AA8" w14:textId="77777777" w:rsidR="00B10E79" w:rsidRPr="0071547C" w:rsidRDefault="00B8327C" w:rsidP="0071547C">
      <w:pPr>
        <w:numPr>
          <w:ilvl w:val="0"/>
          <w:numId w:val="2"/>
        </w:numPr>
        <w:pBdr>
          <w:top w:val="nil"/>
          <w:left w:val="nil"/>
          <w:bottom w:val="nil"/>
          <w:right w:val="nil"/>
          <w:between w:val="nil"/>
        </w:pBdr>
        <w:tabs>
          <w:tab w:val="left" w:pos="360"/>
          <w:tab w:val="left" w:pos="956"/>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Loan limit maintenance period: 12 months.</w:t>
      </w:r>
    </w:p>
    <w:p w14:paraId="14073AE8" w14:textId="77777777" w:rsidR="00C34A6B" w:rsidRPr="0071547C" w:rsidRDefault="00C34A6B" w:rsidP="0071547C">
      <w:pPr>
        <w:numPr>
          <w:ilvl w:val="0"/>
          <w:numId w:val="2"/>
        </w:numPr>
        <w:pBdr>
          <w:top w:val="nil"/>
          <w:left w:val="nil"/>
          <w:bottom w:val="nil"/>
          <w:right w:val="nil"/>
          <w:between w:val="nil"/>
        </w:pBdr>
        <w:tabs>
          <w:tab w:val="left" w:pos="360"/>
          <w:tab w:val="left" w:pos="952"/>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Collateral: None</w:t>
      </w:r>
    </w:p>
    <w:p w14:paraId="7C487AAA" w14:textId="77777777" w:rsidR="00B10E79" w:rsidRPr="0071547C" w:rsidRDefault="00B8327C" w:rsidP="0071547C">
      <w:pPr>
        <w:numPr>
          <w:ilvl w:val="0"/>
          <w:numId w:val="2"/>
        </w:numPr>
        <w:pBdr>
          <w:top w:val="nil"/>
          <w:left w:val="nil"/>
          <w:bottom w:val="nil"/>
          <w:right w:val="nil"/>
          <w:between w:val="nil"/>
        </w:pBdr>
        <w:tabs>
          <w:tab w:val="left" w:pos="360"/>
          <w:tab w:val="left" w:pos="936"/>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Loan payment sources: Revenue, profit from business activities of the Company</w:t>
      </w:r>
    </w:p>
    <w:p w14:paraId="7C487AAB" w14:textId="77777777" w:rsidR="00B10E79" w:rsidRPr="0071547C" w:rsidRDefault="00B8327C" w:rsidP="0071547C">
      <w:pPr>
        <w:keepNext/>
        <w:numPr>
          <w:ilvl w:val="0"/>
          <w:numId w:val="1"/>
        </w:numPr>
        <w:pBdr>
          <w:top w:val="nil"/>
          <w:left w:val="nil"/>
          <w:bottom w:val="nil"/>
          <w:right w:val="nil"/>
          <w:between w:val="nil"/>
        </w:pBdr>
        <w:tabs>
          <w:tab w:val="left" w:pos="360"/>
          <w:tab w:val="left" w:pos="1039"/>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 xml:space="preserve">Joint Stock Commercial Bank for Foreign Trade of Vietnam - </w:t>
      </w:r>
      <w:proofErr w:type="spellStart"/>
      <w:r w:rsidRPr="0071547C">
        <w:rPr>
          <w:rFonts w:ascii="Arial" w:hAnsi="Arial" w:cs="Arial"/>
          <w:color w:val="010000"/>
          <w:sz w:val="20"/>
        </w:rPr>
        <w:t>Khanh</w:t>
      </w:r>
      <w:proofErr w:type="spellEnd"/>
      <w:r w:rsidRPr="0071547C">
        <w:rPr>
          <w:rFonts w:ascii="Arial" w:hAnsi="Arial" w:cs="Arial"/>
          <w:color w:val="010000"/>
          <w:sz w:val="20"/>
        </w:rPr>
        <w:t xml:space="preserve"> </w:t>
      </w:r>
      <w:proofErr w:type="spellStart"/>
      <w:r w:rsidRPr="0071547C">
        <w:rPr>
          <w:rFonts w:ascii="Arial" w:hAnsi="Arial" w:cs="Arial"/>
          <w:color w:val="010000"/>
          <w:sz w:val="20"/>
        </w:rPr>
        <w:t>Hoa</w:t>
      </w:r>
      <w:proofErr w:type="spellEnd"/>
      <w:r w:rsidRPr="0071547C">
        <w:rPr>
          <w:rFonts w:ascii="Arial" w:hAnsi="Arial" w:cs="Arial"/>
          <w:color w:val="010000"/>
          <w:sz w:val="20"/>
        </w:rPr>
        <w:t xml:space="preserve"> Branch</w:t>
      </w:r>
    </w:p>
    <w:p w14:paraId="7C487AAC" w14:textId="77777777" w:rsidR="00B10E79" w:rsidRPr="0071547C" w:rsidRDefault="00B8327C" w:rsidP="0071547C">
      <w:pPr>
        <w:numPr>
          <w:ilvl w:val="0"/>
          <w:numId w:val="2"/>
        </w:numPr>
        <w:pBdr>
          <w:top w:val="nil"/>
          <w:left w:val="nil"/>
          <w:bottom w:val="nil"/>
          <w:right w:val="nil"/>
          <w:between w:val="nil"/>
        </w:pBdr>
        <w:tabs>
          <w:tab w:val="left" w:pos="360"/>
          <w:tab w:val="left" w:pos="956"/>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 xml:space="preserve">Loan limit: </w:t>
      </w:r>
      <w:proofErr w:type="spellStart"/>
      <w:r w:rsidRPr="0071547C">
        <w:rPr>
          <w:rFonts w:ascii="Arial" w:hAnsi="Arial" w:cs="Arial"/>
          <w:color w:val="010000"/>
          <w:sz w:val="20"/>
        </w:rPr>
        <w:t>VND</w:t>
      </w:r>
      <w:proofErr w:type="spellEnd"/>
      <w:r w:rsidRPr="0071547C">
        <w:rPr>
          <w:rFonts w:ascii="Arial" w:hAnsi="Arial" w:cs="Arial"/>
          <w:color w:val="010000"/>
          <w:sz w:val="20"/>
        </w:rPr>
        <w:t xml:space="preserve"> 150 billion;</w:t>
      </w:r>
    </w:p>
    <w:p w14:paraId="7C487AAD" w14:textId="77777777" w:rsidR="00B10E79" w:rsidRPr="0071547C" w:rsidRDefault="00B8327C" w:rsidP="0071547C">
      <w:pPr>
        <w:numPr>
          <w:ilvl w:val="0"/>
          <w:numId w:val="2"/>
        </w:numPr>
        <w:pBdr>
          <w:top w:val="nil"/>
          <w:left w:val="nil"/>
          <w:bottom w:val="nil"/>
          <w:right w:val="nil"/>
          <w:between w:val="nil"/>
        </w:pBdr>
        <w:tabs>
          <w:tab w:val="left" w:pos="360"/>
          <w:tab w:val="left" w:pos="938"/>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Loan purpose: Supplement working capital for production and business activities in 2024 of the Company.</w:t>
      </w:r>
    </w:p>
    <w:p w14:paraId="7C487AAE" w14:textId="77777777" w:rsidR="00B10E79" w:rsidRPr="0071547C" w:rsidRDefault="00B8327C" w:rsidP="0071547C">
      <w:pPr>
        <w:numPr>
          <w:ilvl w:val="0"/>
          <w:numId w:val="2"/>
        </w:numPr>
        <w:pBdr>
          <w:top w:val="nil"/>
          <w:left w:val="nil"/>
          <w:bottom w:val="nil"/>
          <w:right w:val="nil"/>
          <w:between w:val="nil"/>
        </w:pBdr>
        <w:tabs>
          <w:tab w:val="left" w:pos="360"/>
          <w:tab w:val="left" w:pos="956"/>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Loan limit maintenance period: 12 months.</w:t>
      </w:r>
    </w:p>
    <w:p w14:paraId="578D8AF4" w14:textId="77777777" w:rsidR="00C34A6B" w:rsidRPr="0071547C" w:rsidRDefault="00C34A6B" w:rsidP="0071547C">
      <w:pPr>
        <w:numPr>
          <w:ilvl w:val="0"/>
          <w:numId w:val="2"/>
        </w:numPr>
        <w:pBdr>
          <w:top w:val="nil"/>
          <w:left w:val="nil"/>
          <w:bottom w:val="nil"/>
          <w:right w:val="nil"/>
          <w:between w:val="nil"/>
        </w:pBdr>
        <w:tabs>
          <w:tab w:val="left" w:pos="360"/>
          <w:tab w:val="left" w:pos="952"/>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Collateral: None</w:t>
      </w:r>
    </w:p>
    <w:p w14:paraId="7C487AB0" w14:textId="77777777" w:rsidR="00B10E79" w:rsidRPr="0071547C" w:rsidRDefault="00B8327C" w:rsidP="0071547C">
      <w:pPr>
        <w:numPr>
          <w:ilvl w:val="0"/>
          <w:numId w:val="2"/>
        </w:numPr>
        <w:pBdr>
          <w:top w:val="nil"/>
          <w:left w:val="nil"/>
          <w:bottom w:val="nil"/>
          <w:right w:val="nil"/>
          <w:between w:val="nil"/>
        </w:pBdr>
        <w:tabs>
          <w:tab w:val="left" w:pos="360"/>
          <w:tab w:val="left" w:pos="936"/>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Loan payment sources: Revenue, profit from business activities of the Company</w:t>
      </w:r>
    </w:p>
    <w:p w14:paraId="7C487AB1" w14:textId="77777777" w:rsidR="00B10E79" w:rsidRPr="0071547C" w:rsidRDefault="00B8327C" w:rsidP="0071547C">
      <w:pPr>
        <w:pBdr>
          <w:top w:val="nil"/>
          <w:left w:val="nil"/>
          <w:bottom w:val="nil"/>
          <w:right w:val="nil"/>
          <w:between w:val="nil"/>
        </w:pBdr>
        <w:tabs>
          <w:tab w:val="left" w:pos="360"/>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Article 2: Implement capital loan procedures according to regulations to ensure stable and highly effective production and business activities in 2024.</w:t>
      </w:r>
    </w:p>
    <w:p w14:paraId="7C487AB2" w14:textId="7DFA6A07" w:rsidR="00B10E79" w:rsidRPr="0071547C" w:rsidRDefault="00B8327C" w:rsidP="0071547C">
      <w:pPr>
        <w:pBdr>
          <w:top w:val="nil"/>
          <w:left w:val="nil"/>
          <w:bottom w:val="nil"/>
          <w:right w:val="nil"/>
          <w:between w:val="nil"/>
        </w:pBdr>
        <w:tabs>
          <w:tab w:val="left" w:pos="360"/>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t xml:space="preserve">Article 3: Members of the Board of Directors, </w:t>
      </w:r>
      <w:r w:rsidR="00C34A6B" w:rsidRPr="0071547C">
        <w:rPr>
          <w:rFonts w:ascii="Arial" w:hAnsi="Arial" w:cs="Arial"/>
          <w:color w:val="010000"/>
          <w:sz w:val="20"/>
        </w:rPr>
        <w:t>the Supervisory Board</w:t>
      </w:r>
      <w:r w:rsidRPr="0071547C">
        <w:rPr>
          <w:rFonts w:ascii="Arial" w:hAnsi="Arial" w:cs="Arial"/>
          <w:color w:val="010000"/>
          <w:sz w:val="20"/>
        </w:rPr>
        <w:t>,</w:t>
      </w:r>
      <w:r w:rsidR="00C34A6B" w:rsidRPr="0071547C">
        <w:rPr>
          <w:rFonts w:ascii="Arial" w:hAnsi="Arial" w:cs="Arial"/>
          <w:color w:val="010000"/>
          <w:sz w:val="20"/>
        </w:rPr>
        <w:t xml:space="preserve"> the</w:t>
      </w:r>
      <w:r w:rsidRPr="0071547C">
        <w:rPr>
          <w:rFonts w:ascii="Arial" w:hAnsi="Arial" w:cs="Arial"/>
          <w:color w:val="010000"/>
          <w:sz w:val="20"/>
        </w:rPr>
        <w:t xml:space="preserve"> Board of </w:t>
      </w:r>
      <w:r w:rsidR="00C34A6B" w:rsidRPr="0071547C">
        <w:rPr>
          <w:rFonts w:ascii="Arial" w:hAnsi="Arial" w:cs="Arial"/>
          <w:color w:val="010000"/>
          <w:sz w:val="20"/>
        </w:rPr>
        <w:t>M</w:t>
      </w:r>
      <w:r w:rsidRPr="0071547C">
        <w:rPr>
          <w:rFonts w:ascii="Arial" w:hAnsi="Arial" w:cs="Arial"/>
          <w:color w:val="010000"/>
          <w:sz w:val="20"/>
        </w:rPr>
        <w:t>anagement, relevant departments and individuals are responsible for proactively implementing the contents stated in the Resolution, and simultaneously inspecting and supervising the implementation of the Resolution according to their functions and powers.</w:t>
      </w:r>
    </w:p>
    <w:p w14:paraId="7C487AB3" w14:textId="77777777" w:rsidR="00B10E79" w:rsidRPr="0071547C" w:rsidRDefault="00B8327C" w:rsidP="0071547C">
      <w:pPr>
        <w:pBdr>
          <w:top w:val="nil"/>
          <w:left w:val="nil"/>
          <w:bottom w:val="nil"/>
          <w:right w:val="nil"/>
          <w:between w:val="nil"/>
        </w:pBdr>
        <w:tabs>
          <w:tab w:val="left" w:pos="360"/>
          <w:tab w:val="left" w:pos="6096"/>
        </w:tabs>
        <w:spacing w:after="120" w:line="360" w:lineRule="auto"/>
        <w:rPr>
          <w:rFonts w:ascii="Arial" w:eastAsia="Arial" w:hAnsi="Arial" w:cs="Arial"/>
          <w:color w:val="010000"/>
          <w:sz w:val="20"/>
          <w:szCs w:val="20"/>
        </w:rPr>
      </w:pPr>
      <w:r w:rsidRPr="0071547C">
        <w:rPr>
          <w:rFonts w:ascii="Arial" w:hAnsi="Arial" w:cs="Arial"/>
          <w:color w:val="010000"/>
          <w:sz w:val="20"/>
        </w:rPr>
        <w:lastRenderedPageBreak/>
        <w:t>This Board Resolution takes effect from the date of signing.</w:t>
      </w:r>
    </w:p>
    <w:sectPr w:rsidR="00B10E79" w:rsidRPr="0071547C" w:rsidSect="00B8327C">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EE67E1"/>
    <w:multiLevelType w:val="multilevel"/>
    <w:tmpl w:val="D10683D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15C2ADD"/>
    <w:multiLevelType w:val="multilevel"/>
    <w:tmpl w:val="3A04079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79"/>
    <w:rsid w:val="001E6D9F"/>
    <w:rsid w:val="00265164"/>
    <w:rsid w:val="002729DF"/>
    <w:rsid w:val="003B7860"/>
    <w:rsid w:val="0071547C"/>
    <w:rsid w:val="00B10E79"/>
    <w:rsid w:val="00B8327C"/>
    <w:rsid w:val="00C34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87A9C"/>
  <w15:docId w15:val="{39EC28FD-51AB-4AAF-9FAF-F7323AAD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A6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meU574grPS4vDkN7AaJeKrPzlg==">CgMxLjAyCmlkLjMwajB6bGwyCmlkLjFmb2I5dGUyCmlkLjN6bnlzaDcyCWlkLmdqZGd4czIKaWQuMmV0OTJwMDIJaWQudHlqY3d0MgppZC4zZHk2dmttMgppZC4xdDNoNXNmMgppZC40ZDM0b2c4MgppZC4yczhleW8xMgppZC4yNmluMXJnMgppZC4xN2RwOHZ1MgppZC4zcmRjcmpuMglpZC5sbnhiejkyCmlkLjM1bmt1bjIyCmlkLjFrc3Y0dXYyCmlkLjQ0c2luaW8yCmlkLjJqeHN4cWgyCWlkLnozMzd5YTIKaWQuMXk4MTB0dzIKaWQuM2oycXFtMzIKaWQuNGk3b2pocDIKaWQuMnhjeXRwaTIKaWQuMWNpOTN4YjIKaWQuM3dod21sNDIKaWQuMmJuNndzeDgAciExc0IxTFFwU3JQWVltUzNkZHF2OE53WkpzcnZzN2lFb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2024-01-24T03:38:00Z</dcterms:created>
  <dcterms:modified xsi:type="dcterms:W3CDTF">2024-01-24T03:38:00Z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3556120f3c5a4c27f06904ffa9d5f3c41c4110d3ad41fe1d3052f2724058d0ae</vt:lpwstr>
  </property>
</Properties>
</file>