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A4FDB" w:rsidRPr="00D9333C" w:rsidRDefault="00D9333C" w:rsidP="00FF367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9333C">
        <w:rPr>
          <w:rFonts w:ascii="Arial" w:hAnsi="Arial" w:cs="Arial"/>
          <w:b/>
          <w:color w:val="010000"/>
          <w:sz w:val="20"/>
        </w:rPr>
        <w:t>C69: Board Resolution</w:t>
      </w:r>
    </w:p>
    <w:p w14:paraId="00000002" w14:textId="77777777" w:rsidR="009A4FDB" w:rsidRPr="00D9333C" w:rsidRDefault="00D9333C" w:rsidP="00FF36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33C">
        <w:rPr>
          <w:rFonts w:ascii="Arial" w:hAnsi="Arial" w:cs="Arial"/>
          <w:color w:val="010000"/>
          <w:sz w:val="20"/>
        </w:rPr>
        <w:t>On January 22, 2024, 1369 Construction Joint Stock Company announced Resolution No. 03/2024/NQ-HDQT on approving transactions between the</w:t>
      </w:r>
      <w:bookmarkStart w:id="0" w:name="_GoBack"/>
      <w:bookmarkEnd w:id="0"/>
      <w:r w:rsidRPr="00D9333C">
        <w:rPr>
          <w:rFonts w:ascii="Arial" w:hAnsi="Arial" w:cs="Arial"/>
          <w:color w:val="010000"/>
          <w:sz w:val="20"/>
        </w:rPr>
        <w:t xml:space="preserve"> Company and affiliated parties arising in 2024 as follows:</w:t>
      </w:r>
    </w:p>
    <w:p w14:paraId="00000003" w14:textId="77777777" w:rsidR="009A4FDB" w:rsidRPr="00D9333C" w:rsidRDefault="00D9333C" w:rsidP="00FF36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33C">
        <w:rPr>
          <w:rFonts w:ascii="Arial" w:hAnsi="Arial" w:cs="Arial"/>
          <w:color w:val="010000"/>
          <w:sz w:val="20"/>
        </w:rPr>
        <w:t>‎‎Article 1. Approve carrying out transactions with affiliated parties, with the transaction value (or total value of related transactions) less than 35% of the total asset value recorded on the Company's most recent Financial Statements arising in 2024, specifically:</w:t>
      </w:r>
    </w:p>
    <w:p w14:paraId="00000004" w14:textId="77777777" w:rsidR="009A4FDB" w:rsidRPr="00D9333C" w:rsidRDefault="00D9333C" w:rsidP="00FF3679">
      <w:pPr>
        <w:numPr>
          <w:ilvl w:val="0"/>
          <w:numId w:val="2"/>
        </w:numPr>
        <w:pBdr>
          <w:top w:val="nil"/>
          <w:left w:val="nil"/>
          <w:bottom w:val="nil"/>
          <w:right w:val="nil"/>
          <w:between w:val="nil"/>
        </w:pBdr>
        <w:tabs>
          <w:tab w:val="left" w:pos="432"/>
          <w:tab w:val="left" w:pos="1324"/>
        </w:tabs>
        <w:spacing w:after="120" w:line="360" w:lineRule="auto"/>
        <w:jc w:val="both"/>
        <w:rPr>
          <w:rFonts w:ascii="Arial" w:eastAsia="Arial" w:hAnsi="Arial" w:cs="Arial"/>
          <w:color w:val="010000"/>
          <w:sz w:val="20"/>
          <w:szCs w:val="20"/>
        </w:rPr>
      </w:pPr>
      <w:r w:rsidRPr="00D9333C">
        <w:rPr>
          <w:rFonts w:ascii="Arial" w:hAnsi="Arial" w:cs="Arial"/>
          <w:color w:val="010000"/>
          <w:sz w:val="20"/>
        </w:rPr>
        <w:t>Subjects of signing contracts:</w:t>
      </w:r>
    </w:p>
    <w:p w14:paraId="00000005" w14:textId="77777777" w:rsidR="009A4FDB" w:rsidRPr="00D9333C" w:rsidRDefault="00D9333C" w:rsidP="00FF3679">
      <w:pPr>
        <w:numPr>
          <w:ilvl w:val="0"/>
          <w:numId w:val="1"/>
        </w:numPr>
        <w:pBdr>
          <w:top w:val="nil"/>
          <w:left w:val="nil"/>
          <w:bottom w:val="nil"/>
          <w:right w:val="nil"/>
          <w:between w:val="nil"/>
        </w:pBdr>
        <w:tabs>
          <w:tab w:val="left" w:pos="432"/>
          <w:tab w:val="left" w:pos="1890"/>
        </w:tabs>
        <w:spacing w:after="120" w:line="360" w:lineRule="auto"/>
        <w:jc w:val="both"/>
        <w:rPr>
          <w:rFonts w:ascii="Arial" w:eastAsia="Arial" w:hAnsi="Arial" w:cs="Arial"/>
          <w:color w:val="010000"/>
          <w:sz w:val="20"/>
          <w:szCs w:val="20"/>
        </w:rPr>
      </w:pPr>
      <w:r w:rsidRPr="00D9333C">
        <w:rPr>
          <w:rFonts w:ascii="Arial" w:hAnsi="Arial" w:cs="Arial"/>
          <w:color w:val="010000"/>
          <w:sz w:val="20"/>
        </w:rPr>
        <w:t>Subsidiaries, joint ventures;</w:t>
      </w:r>
    </w:p>
    <w:p w14:paraId="00000006" w14:textId="77777777" w:rsidR="009A4FDB" w:rsidRPr="00D9333C" w:rsidRDefault="00D9333C" w:rsidP="00FF3679">
      <w:pPr>
        <w:numPr>
          <w:ilvl w:val="0"/>
          <w:numId w:val="1"/>
        </w:numPr>
        <w:pBdr>
          <w:top w:val="nil"/>
          <w:left w:val="nil"/>
          <w:bottom w:val="nil"/>
          <w:right w:val="nil"/>
          <w:between w:val="nil"/>
        </w:pBdr>
        <w:tabs>
          <w:tab w:val="left" w:pos="432"/>
          <w:tab w:val="left" w:pos="1890"/>
        </w:tabs>
        <w:spacing w:after="120" w:line="360" w:lineRule="auto"/>
        <w:jc w:val="both"/>
        <w:rPr>
          <w:rFonts w:ascii="Arial" w:eastAsia="Arial" w:hAnsi="Arial" w:cs="Arial"/>
          <w:color w:val="010000"/>
          <w:sz w:val="20"/>
          <w:szCs w:val="20"/>
        </w:rPr>
      </w:pPr>
      <w:r w:rsidRPr="00D9333C">
        <w:rPr>
          <w:rFonts w:ascii="Arial" w:hAnsi="Arial" w:cs="Arial"/>
          <w:color w:val="010000"/>
          <w:sz w:val="20"/>
        </w:rPr>
        <w:t>Shareholders, authorized representatives of shareholders being organizations that own more than 10% of the total common shares of the Company and their affiliated persons;</w:t>
      </w:r>
    </w:p>
    <w:p w14:paraId="00000007" w14:textId="77777777" w:rsidR="009A4FDB" w:rsidRPr="00D9333C" w:rsidRDefault="00D9333C" w:rsidP="00FF3679">
      <w:pPr>
        <w:numPr>
          <w:ilvl w:val="0"/>
          <w:numId w:val="1"/>
        </w:numPr>
        <w:pBdr>
          <w:top w:val="nil"/>
          <w:left w:val="nil"/>
          <w:bottom w:val="nil"/>
          <w:right w:val="nil"/>
          <w:between w:val="nil"/>
        </w:pBdr>
        <w:tabs>
          <w:tab w:val="left" w:pos="432"/>
          <w:tab w:val="left" w:pos="1890"/>
        </w:tabs>
        <w:spacing w:after="120" w:line="360" w:lineRule="auto"/>
        <w:jc w:val="both"/>
        <w:rPr>
          <w:rFonts w:ascii="Arial" w:eastAsia="Arial" w:hAnsi="Arial" w:cs="Arial"/>
          <w:color w:val="010000"/>
          <w:sz w:val="20"/>
          <w:szCs w:val="20"/>
        </w:rPr>
      </w:pPr>
      <w:r w:rsidRPr="00D9333C">
        <w:rPr>
          <w:rFonts w:ascii="Arial" w:hAnsi="Arial" w:cs="Arial"/>
          <w:color w:val="010000"/>
          <w:sz w:val="20"/>
        </w:rPr>
        <w:t>Members of the Board of Directors, the General Manager, the Deputy General Manager, the Chief Accountant and their affiliated persons;</w:t>
      </w:r>
    </w:p>
    <w:p w14:paraId="00000008" w14:textId="77777777" w:rsidR="009A4FDB" w:rsidRPr="00D9333C" w:rsidRDefault="00D9333C" w:rsidP="00FF3679">
      <w:pPr>
        <w:numPr>
          <w:ilvl w:val="0"/>
          <w:numId w:val="1"/>
        </w:numPr>
        <w:pBdr>
          <w:top w:val="nil"/>
          <w:left w:val="nil"/>
          <w:bottom w:val="nil"/>
          <w:right w:val="nil"/>
          <w:between w:val="nil"/>
        </w:pBdr>
        <w:tabs>
          <w:tab w:val="left" w:pos="432"/>
          <w:tab w:val="left" w:pos="1890"/>
        </w:tabs>
        <w:spacing w:after="120" w:line="360" w:lineRule="auto"/>
        <w:jc w:val="both"/>
        <w:rPr>
          <w:rFonts w:ascii="Arial" w:eastAsia="Arial" w:hAnsi="Arial" w:cs="Arial"/>
          <w:color w:val="010000"/>
          <w:sz w:val="20"/>
          <w:szCs w:val="20"/>
        </w:rPr>
      </w:pPr>
      <w:r w:rsidRPr="00D9333C">
        <w:rPr>
          <w:rFonts w:ascii="Arial" w:hAnsi="Arial" w:cs="Arial"/>
          <w:color w:val="010000"/>
          <w:sz w:val="20"/>
        </w:rPr>
        <w:t>And other affiliated parties of the Company.</w:t>
      </w:r>
    </w:p>
    <w:p w14:paraId="00000009" w14:textId="77777777" w:rsidR="009A4FDB" w:rsidRPr="00D9333C" w:rsidRDefault="00D9333C" w:rsidP="00FF3679">
      <w:pPr>
        <w:numPr>
          <w:ilvl w:val="0"/>
          <w:numId w:val="2"/>
        </w:numPr>
        <w:pBdr>
          <w:top w:val="nil"/>
          <w:left w:val="nil"/>
          <w:bottom w:val="nil"/>
          <w:right w:val="nil"/>
          <w:between w:val="nil"/>
        </w:pBdr>
        <w:tabs>
          <w:tab w:val="left" w:pos="432"/>
          <w:tab w:val="left" w:pos="1338"/>
        </w:tabs>
        <w:spacing w:after="120" w:line="360" w:lineRule="auto"/>
        <w:jc w:val="both"/>
        <w:rPr>
          <w:rFonts w:ascii="Arial" w:eastAsia="Arial" w:hAnsi="Arial" w:cs="Arial"/>
          <w:color w:val="010000"/>
          <w:sz w:val="20"/>
          <w:szCs w:val="20"/>
        </w:rPr>
      </w:pPr>
      <w:r w:rsidRPr="00D9333C">
        <w:rPr>
          <w:rFonts w:ascii="Arial" w:hAnsi="Arial" w:cs="Arial"/>
          <w:color w:val="010000"/>
          <w:sz w:val="20"/>
        </w:rPr>
        <w:t>Transaction types:</w:t>
      </w:r>
    </w:p>
    <w:p w14:paraId="0000000A" w14:textId="77777777" w:rsidR="009A4FDB" w:rsidRPr="00D9333C" w:rsidRDefault="00D9333C" w:rsidP="00FF36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33C">
        <w:rPr>
          <w:rFonts w:ascii="Arial" w:hAnsi="Arial" w:cs="Arial"/>
          <w:color w:val="010000"/>
          <w:sz w:val="20"/>
        </w:rPr>
        <w:t>Types of transactions include but are not limited to the transactions listed below:</w:t>
      </w:r>
    </w:p>
    <w:p w14:paraId="0000000B" w14:textId="77777777" w:rsidR="009A4FDB" w:rsidRPr="00D9333C" w:rsidRDefault="00D9333C" w:rsidP="00FF3679">
      <w:pPr>
        <w:numPr>
          <w:ilvl w:val="0"/>
          <w:numId w:val="1"/>
        </w:numPr>
        <w:pBdr>
          <w:top w:val="nil"/>
          <w:left w:val="nil"/>
          <w:bottom w:val="nil"/>
          <w:right w:val="nil"/>
          <w:between w:val="nil"/>
        </w:pBdr>
        <w:tabs>
          <w:tab w:val="left" w:pos="432"/>
          <w:tab w:val="left" w:pos="1853"/>
        </w:tabs>
        <w:spacing w:after="120" w:line="360" w:lineRule="auto"/>
        <w:jc w:val="both"/>
        <w:rPr>
          <w:rFonts w:ascii="Arial" w:eastAsia="Arial" w:hAnsi="Arial" w:cs="Arial"/>
          <w:color w:val="010000"/>
          <w:sz w:val="20"/>
          <w:szCs w:val="20"/>
        </w:rPr>
      </w:pPr>
      <w:r w:rsidRPr="00D9333C">
        <w:rPr>
          <w:rFonts w:ascii="Arial" w:hAnsi="Arial" w:cs="Arial"/>
          <w:color w:val="010000"/>
          <w:sz w:val="20"/>
        </w:rPr>
        <w:t>Transactions of buying and selling shares and capital contributions;</w:t>
      </w:r>
    </w:p>
    <w:p w14:paraId="0000000C" w14:textId="77777777" w:rsidR="009A4FDB" w:rsidRPr="00D9333C" w:rsidRDefault="00D9333C" w:rsidP="00FF3679">
      <w:pPr>
        <w:numPr>
          <w:ilvl w:val="0"/>
          <w:numId w:val="1"/>
        </w:numPr>
        <w:pBdr>
          <w:top w:val="nil"/>
          <w:left w:val="nil"/>
          <w:bottom w:val="nil"/>
          <w:right w:val="nil"/>
          <w:between w:val="nil"/>
        </w:pBdr>
        <w:tabs>
          <w:tab w:val="left" w:pos="432"/>
          <w:tab w:val="left" w:pos="1853"/>
        </w:tabs>
        <w:spacing w:after="120" w:line="360" w:lineRule="auto"/>
        <w:jc w:val="both"/>
        <w:rPr>
          <w:rFonts w:ascii="Arial" w:eastAsia="Arial" w:hAnsi="Arial" w:cs="Arial"/>
          <w:color w:val="010000"/>
          <w:sz w:val="20"/>
          <w:szCs w:val="20"/>
        </w:rPr>
      </w:pPr>
      <w:r w:rsidRPr="00D9333C">
        <w:rPr>
          <w:rFonts w:ascii="Arial" w:hAnsi="Arial" w:cs="Arial"/>
          <w:color w:val="010000"/>
          <w:sz w:val="20"/>
        </w:rPr>
        <w:t>Transactions of purchase and sale of goods, materials, and provision of services...;</w:t>
      </w:r>
    </w:p>
    <w:p w14:paraId="0000000D" w14:textId="77777777" w:rsidR="009A4FDB" w:rsidRPr="00D9333C" w:rsidRDefault="00D9333C" w:rsidP="00FF3679">
      <w:pPr>
        <w:numPr>
          <w:ilvl w:val="0"/>
          <w:numId w:val="1"/>
        </w:numPr>
        <w:pBdr>
          <w:top w:val="nil"/>
          <w:left w:val="nil"/>
          <w:bottom w:val="nil"/>
          <w:right w:val="nil"/>
          <w:between w:val="nil"/>
        </w:pBdr>
        <w:tabs>
          <w:tab w:val="left" w:pos="432"/>
          <w:tab w:val="left" w:pos="1853"/>
        </w:tabs>
        <w:spacing w:after="120" w:line="360" w:lineRule="auto"/>
        <w:jc w:val="both"/>
        <w:rPr>
          <w:rFonts w:ascii="Arial" w:eastAsia="Arial" w:hAnsi="Arial" w:cs="Arial"/>
          <w:color w:val="010000"/>
          <w:sz w:val="20"/>
          <w:szCs w:val="20"/>
        </w:rPr>
      </w:pPr>
      <w:r w:rsidRPr="00D9333C">
        <w:rPr>
          <w:rFonts w:ascii="Arial" w:hAnsi="Arial" w:cs="Arial"/>
          <w:color w:val="010000"/>
          <w:sz w:val="20"/>
        </w:rPr>
        <w:t>Types of Contracts on Investment cooperation/investment trust, agency/product distribution. Contracts on renting/leasing/borrowing/transferring tangible and intangible assets;</w:t>
      </w:r>
    </w:p>
    <w:p w14:paraId="0000000E" w14:textId="77777777" w:rsidR="009A4FDB" w:rsidRPr="00D9333C" w:rsidRDefault="00D9333C" w:rsidP="00FF3679">
      <w:pPr>
        <w:numPr>
          <w:ilvl w:val="0"/>
          <w:numId w:val="1"/>
        </w:numPr>
        <w:pBdr>
          <w:top w:val="nil"/>
          <w:left w:val="nil"/>
          <w:bottom w:val="nil"/>
          <w:right w:val="nil"/>
          <w:between w:val="nil"/>
        </w:pBdr>
        <w:tabs>
          <w:tab w:val="left" w:pos="432"/>
          <w:tab w:val="left" w:pos="1853"/>
        </w:tabs>
        <w:spacing w:after="120" w:line="360" w:lineRule="auto"/>
        <w:jc w:val="both"/>
        <w:rPr>
          <w:rFonts w:ascii="Arial" w:eastAsia="Arial" w:hAnsi="Arial" w:cs="Arial"/>
          <w:color w:val="010000"/>
          <w:sz w:val="20"/>
          <w:szCs w:val="20"/>
        </w:rPr>
      </w:pPr>
      <w:r w:rsidRPr="00D9333C">
        <w:rPr>
          <w:rFonts w:ascii="Arial" w:hAnsi="Arial" w:cs="Arial"/>
          <w:color w:val="010000"/>
          <w:sz w:val="20"/>
        </w:rPr>
        <w:t>Other forms of transaction in accordance with the business license and legal functions and business lines between the parties.</w:t>
      </w:r>
    </w:p>
    <w:p w14:paraId="0000000F" w14:textId="77777777" w:rsidR="009A4FDB" w:rsidRPr="00D9333C" w:rsidRDefault="00D9333C" w:rsidP="00FF36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33C">
        <w:rPr>
          <w:rFonts w:ascii="Arial" w:hAnsi="Arial" w:cs="Arial"/>
          <w:color w:val="010000"/>
          <w:sz w:val="20"/>
        </w:rPr>
        <w:t>‎‎Article 2. Authorization of the Board of Directors to the Company's legal representative:</w:t>
      </w:r>
    </w:p>
    <w:p w14:paraId="00000010" w14:textId="77777777" w:rsidR="009A4FDB" w:rsidRPr="00D9333C" w:rsidRDefault="00D9333C" w:rsidP="00FF36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33C">
        <w:rPr>
          <w:rFonts w:ascii="Arial" w:hAnsi="Arial" w:cs="Arial"/>
          <w:color w:val="010000"/>
          <w:sz w:val="20"/>
        </w:rPr>
        <w:t>1.</w:t>
      </w:r>
      <w:r w:rsidRPr="00D9333C">
        <w:rPr>
          <w:rFonts w:ascii="Arial" w:hAnsi="Arial" w:cs="Arial"/>
          <w:color w:val="010000"/>
          <w:sz w:val="20"/>
        </w:rPr>
        <w:tab/>
        <w:t>Authorize the Company's Legal Representative to decide on specific terms and conditions, sign and implement the transactions mentioned in Article 1, including agreements to amend, supplement, terminate and replace related transactions (if any);</w:t>
      </w:r>
    </w:p>
    <w:p w14:paraId="00000011" w14:textId="77777777" w:rsidR="009A4FDB" w:rsidRPr="00D9333C" w:rsidRDefault="00D9333C" w:rsidP="00FF36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33C">
        <w:rPr>
          <w:rFonts w:ascii="Arial" w:hAnsi="Arial" w:cs="Arial"/>
          <w:color w:val="010000"/>
          <w:sz w:val="20"/>
        </w:rPr>
        <w:t>2.</w:t>
      </w:r>
      <w:r w:rsidRPr="00D9333C">
        <w:rPr>
          <w:rFonts w:ascii="Arial" w:hAnsi="Arial" w:cs="Arial"/>
          <w:color w:val="010000"/>
          <w:sz w:val="20"/>
        </w:rPr>
        <w:tab/>
        <w:t>Authorize the Company's Legal Representative to decide on specific terms and conditions, sign and implement transactions between the Company and PDMR, affiliated persons of PDMR, or persons related to the Company who are subject to Article 1 but have not been listed;</w:t>
      </w:r>
    </w:p>
    <w:p w14:paraId="00000012" w14:textId="77777777" w:rsidR="009A4FDB" w:rsidRPr="00D9333C" w:rsidRDefault="00D9333C" w:rsidP="00FF36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33C">
        <w:rPr>
          <w:rFonts w:ascii="Arial" w:hAnsi="Arial" w:cs="Arial"/>
          <w:color w:val="010000"/>
          <w:sz w:val="20"/>
        </w:rPr>
        <w:t>3.</w:t>
      </w:r>
      <w:r w:rsidRPr="00D9333C">
        <w:rPr>
          <w:rFonts w:ascii="Arial" w:hAnsi="Arial" w:cs="Arial"/>
          <w:color w:val="010000"/>
          <w:sz w:val="20"/>
        </w:rPr>
        <w:tab/>
        <w:t>The legal representative of the Company is responsible for implementing tasks based on the principle of transparency, ensuring the legitimate rights and interests of the Company; strictly and fully comply with the provisions of the Charter, the General Mandates, the Internal Regulations and current provisions of law and take responsibility before the Board of Directors;</w:t>
      </w:r>
    </w:p>
    <w:p w14:paraId="00000013" w14:textId="77777777" w:rsidR="009A4FDB" w:rsidRPr="00D9333C" w:rsidRDefault="00D9333C" w:rsidP="00FF36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33C">
        <w:rPr>
          <w:rFonts w:ascii="Arial" w:hAnsi="Arial" w:cs="Arial"/>
          <w:color w:val="010000"/>
          <w:sz w:val="20"/>
        </w:rPr>
        <w:t>4.</w:t>
      </w:r>
      <w:r w:rsidRPr="00D9333C">
        <w:rPr>
          <w:rFonts w:ascii="Arial" w:hAnsi="Arial" w:cs="Arial"/>
          <w:color w:val="010000"/>
          <w:sz w:val="20"/>
        </w:rPr>
        <w:tab/>
        <w:t xml:space="preserve">The principle contracts signed between the Company and related parties in 2023 shall continue </w:t>
      </w:r>
      <w:r w:rsidRPr="00D9333C">
        <w:rPr>
          <w:rFonts w:ascii="Arial" w:hAnsi="Arial" w:cs="Arial"/>
          <w:color w:val="010000"/>
          <w:sz w:val="20"/>
        </w:rPr>
        <w:lastRenderedPageBreak/>
        <w:t>to be valid in 2024.</w:t>
      </w:r>
    </w:p>
    <w:p w14:paraId="00000014" w14:textId="77777777" w:rsidR="009A4FDB" w:rsidRPr="00D9333C" w:rsidRDefault="00D9333C" w:rsidP="00FF36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333C">
        <w:rPr>
          <w:rFonts w:ascii="Arial" w:hAnsi="Arial" w:cs="Arial"/>
          <w:color w:val="010000"/>
          <w:sz w:val="20"/>
        </w:rPr>
        <w:t>‎‎Article 3. This Resolution takes effect from the date of its signing. Members of the Board of Directors, the legal representative, departments and units of the Company, and relevant organizations and individuals are responsible for the implementation of this Board Resolution.</w:t>
      </w:r>
    </w:p>
    <w:sectPr w:rsidR="009A4FDB" w:rsidRPr="00D9333C" w:rsidSect="00D9333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417"/>
    <w:multiLevelType w:val="multilevel"/>
    <w:tmpl w:val="288C07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0FD1E0B"/>
    <w:multiLevelType w:val="multilevel"/>
    <w:tmpl w:val="A6B288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DB"/>
    <w:rsid w:val="009A4FDB"/>
    <w:rsid w:val="00D9333C"/>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30">
    <w:name w:val="Body text (3)"/>
    <w:basedOn w:val="Normal"/>
    <w:link w:val="Bodytext3"/>
    <w:pPr>
      <w:jc w:val="center"/>
    </w:pPr>
    <w:rPr>
      <w:rFonts w:ascii="Arial" w:eastAsia="Arial" w:hAnsi="Arial" w:cs="Arial"/>
      <w:b/>
      <w:bCs/>
      <w:sz w:val="26"/>
      <w:szCs w:val="26"/>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30">
    <w:name w:val="Body text (3)"/>
    <w:basedOn w:val="Normal"/>
    <w:link w:val="Bodytext3"/>
    <w:pPr>
      <w:jc w:val="center"/>
    </w:pPr>
    <w:rPr>
      <w:rFonts w:ascii="Arial" w:eastAsia="Arial" w:hAnsi="Arial" w:cs="Arial"/>
      <w:b/>
      <w:bCs/>
      <w:sz w:val="26"/>
      <w:szCs w:val="26"/>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Njehj/BCKswEg+7XnvsHg2144w==">CgMxLjA4AHIhMXNRbGhlX29ZNndtVEpvakUtYUJlSWhTenpvY2Y0S0Zm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2430</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2024-01-24T04:02:00Z</dcterms:created>
  <dcterms:modified xsi:type="dcterms:W3CDTF">2024-01-25T04:52:00Z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0604a3fc86bb79ef115c91ce588fa9b7840359599635bd1f99a86f654609dfef</vt:lpwstr>
  </property>
</Properties>
</file>