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ED6F0" w14:textId="77777777" w:rsidR="00797655" w:rsidRPr="001B667F" w:rsidRDefault="00805667" w:rsidP="000D445B">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1B667F">
        <w:rPr>
          <w:rFonts w:ascii="Arial" w:hAnsi="Arial" w:cs="Arial"/>
          <w:b/>
          <w:color w:val="010000"/>
          <w:sz w:val="20"/>
        </w:rPr>
        <w:t>CVT122008: Notice on the record date to receive bond interest</w:t>
      </w:r>
    </w:p>
    <w:p w14:paraId="74BED6F1" w14:textId="78FE8253" w:rsidR="00797655" w:rsidRPr="001B667F" w:rsidRDefault="00805667" w:rsidP="000D445B">
      <w:p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On January 18, 2024, Vietnam Securities Depository and Clearing Corporation announced Notice No. 226/TB-VSDC on the record date and confirmation of the list of securities owners as follows:</w:t>
      </w:r>
    </w:p>
    <w:p w14:paraId="74BED6F2" w14:textId="77777777" w:rsidR="00797655" w:rsidRPr="001B667F" w:rsidRDefault="00805667" w:rsidP="000D445B">
      <w:p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 Issuer’s name: CMC Joint Stock Company</w:t>
      </w:r>
    </w:p>
    <w:tbl>
      <w:tblPr>
        <w:tblStyle w:val="a"/>
        <w:tblW w:w="5000" w:type="pct"/>
        <w:tblLook w:val="0400" w:firstRow="0" w:lastRow="0" w:firstColumn="0" w:lastColumn="0" w:noHBand="0" w:noVBand="1"/>
      </w:tblPr>
      <w:tblGrid>
        <w:gridCol w:w="2622"/>
        <w:gridCol w:w="6425"/>
      </w:tblGrid>
      <w:tr w:rsidR="00797655" w:rsidRPr="001B667F" w14:paraId="74BED6F5" w14:textId="77777777" w:rsidTr="001B667F">
        <w:tc>
          <w:tcPr>
            <w:tcW w:w="1449" w:type="pct"/>
            <w:shd w:val="clear" w:color="auto" w:fill="auto"/>
            <w:tcMar>
              <w:top w:w="0" w:type="dxa"/>
              <w:bottom w:w="0" w:type="dxa"/>
            </w:tcMar>
            <w:vAlign w:val="center"/>
          </w:tcPr>
          <w:p w14:paraId="74BED6F3" w14:textId="77777777" w:rsidR="00797655" w:rsidRPr="001B667F" w:rsidRDefault="00805667" w:rsidP="000D445B">
            <w:pPr>
              <w:numPr>
                <w:ilvl w:val="0"/>
                <w:numId w:val="3"/>
              </w:numPr>
              <w:pBdr>
                <w:top w:val="nil"/>
                <w:left w:val="nil"/>
                <w:bottom w:val="nil"/>
                <w:right w:val="nil"/>
                <w:between w:val="nil"/>
              </w:pBdr>
              <w:tabs>
                <w:tab w:val="left" w:pos="315"/>
              </w:tabs>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 Securities name:</w:t>
            </w:r>
          </w:p>
        </w:tc>
        <w:tc>
          <w:tcPr>
            <w:tcW w:w="3551" w:type="pct"/>
            <w:shd w:val="clear" w:color="auto" w:fill="auto"/>
            <w:tcMar>
              <w:top w:w="0" w:type="dxa"/>
              <w:bottom w:w="0" w:type="dxa"/>
            </w:tcMar>
            <w:vAlign w:val="center"/>
          </w:tcPr>
          <w:p w14:paraId="74BED6F4" w14:textId="77777777" w:rsidR="00797655" w:rsidRPr="001B667F" w:rsidRDefault="00805667" w:rsidP="000D445B">
            <w:p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Bonds of CMC Joint Stock Company</w:t>
            </w:r>
          </w:p>
        </w:tc>
      </w:tr>
      <w:tr w:rsidR="00797655" w:rsidRPr="001B667F" w14:paraId="74BED6F8" w14:textId="77777777" w:rsidTr="001B667F">
        <w:tc>
          <w:tcPr>
            <w:tcW w:w="1449" w:type="pct"/>
            <w:shd w:val="clear" w:color="auto" w:fill="auto"/>
            <w:tcMar>
              <w:top w:w="0" w:type="dxa"/>
              <w:bottom w:w="0" w:type="dxa"/>
            </w:tcMar>
            <w:vAlign w:val="center"/>
          </w:tcPr>
          <w:p w14:paraId="74BED6F6" w14:textId="77777777" w:rsidR="00797655" w:rsidRPr="001B667F" w:rsidRDefault="00805667" w:rsidP="000D445B">
            <w:pPr>
              <w:numPr>
                <w:ilvl w:val="0"/>
                <w:numId w:val="3"/>
              </w:numPr>
              <w:pBdr>
                <w:top w:val="nil"/>
                <w:left w:val="nil"/>
                <w:bottom w:val="nil"/>
                <w:right w:val="nil"/>
                <w:between w:val="nil"/>
              </w:pBdr>
              <w:tabs>
                <w:tab w:val="left" w:pos="315"/>
              </w:tabs>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 Securities code:</w:t>
            </w:r>
          </w:p>
        </w:tc>
        <w:tc>
          <w:tcPr>
            <w:tcW w:w="3551" w:type="pct"/>
            <w:shd w:val="clear" w:color="auto" w:fill="auto"/>
            <w:tcMar>
              <w:top w:w="0" w:type="dxa"/>
              <w:bottom w:w="0" w:type="dxa"/>
            </w:tcMar>
            <w:vAlign w:val="center"/>
          </w:tcPr>
          <w:p w14:paraId="74BED6F7" w14:textId="77777777" w:rsidR="00797655" w:rsidRPr="001B667F" w:rsidRDefault="00805667" w:rsidP="000D445B">
            <w:p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CVT122008</w:t>
            </w:r>
          </w:p>
        </w:tc>
      </w:tr>
      <w:tr w:rsidR="00797655" w:rsidRPr="001B667F" w14:paraId="74BED6FB" w14:textId="77777777" w:rsidTr="001B667F">
        <w:tc>
          <w:tcPr>
            <w:tcW w:w="1449" w:type="pct"/>
            <w:shd w:val="clear" w:color="auto" w:fill="auto"/>
            <w:tcMar>
              <w:top w:w="0" w:type="dxa"/>
              <w:bottom w:w="0" w:type="dxa"/>
            </w:tcMar>
            <w:vAlign w:val="center"/>
          </w:tcPr>
          <w:p w14:paraId="74BED6F9" w14:textId="77777777" w:rsidR="00797655" w:rsidRPr="001B667F" w:rsidRDefault="00805667" w:rsidP="000D445B">
            <w:pPr>
              <w:numPr>
                <w:ilvl w:val="0"/>
                <w:numId w:val="3"/>
              </w:numPr>
              <w:pBdr>
                <w:top w:val="nil"/>
                <w:left w:val="nil"/>
                <w:bottom w:val="nil"/>
                <w:right w:val="nil"/>
                <w:between w:val="nil"/>
              </w:pBdr>
              <w:tabs>
                <w:tab w:val="left" w:pos="315"/>
              </w:tabs>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 ISIN code:</w:t>
            </w:r>
          </w:p>
        </w:tc>
        <w:tc>
          <w:tcPr>
            <w:tcW w:w="3551" w:type="pct"/>
            <w:shd w:val="clear" w:color="auto" w:fill="auto"/>
            <w:tcMar>
              <w:top w:w="0" w:type="dxa"/>
              <w:bottom w:w="0" w:type="dxa"/>
            </w:tcMar>
            <w:vAlign w:val="center"/>
          </w:tcPr>
          <w:p w14:paraId="74BED6FA" w14:textId="77777777" w:rsidR="00797655" w:rsidRPr="001B667F" w:rsidRDefault="00805667" w:rsidP="000D445B">
            <w:p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VNCVT1220082</w:t>
            </w:r>
          </w:p>
        </w:tc>
      </w:tr>
      <w:tr w:rsidR="00797655" w:rsidRPr="001B667F" w14:paraId="74BED6FE" w14:textId="77777777" w:rsidTr="001B667F">
        <w:tc>
          <w:tcPr>
            <w:tcW w:w="1449" w:type="pct"/>
            <w:shd w:val="clear" w:color="auto" w:fill="auto"/>
            <w:tcMar>
              <w:top w:w="0" w:type="dxa"/>
              <w:bottom w:w="0" w:type="dxa"/>
            </w:tcMar>
            <w:vAlign w:val="center"/>
          </w:tcPr>
          <w:p w14:paraId="74BED6FC" w14:textId="77777777" w:rsidR="00797655" w:rsidRPr="001B667F" w:rsidRDefault="00805667" w:rsidP="000D445B">
            <w:pPr>
              <w:numPr>
                <w:ilvl w:val="0"/>
                <w:numId w:val="3"/>
              </w:numPr>
              <w:pBdr>
                <w:top w:val="nil"/>
                <w:left w:val="nil"/>
                <w:bottom w:val="nil"/>
                <w:right w:val="nil"/>
                <w:between w:val="nil"/>
              </w:pBdr>
              <w:tabs>
                <w:tab w:val="left" w:pos="315"/>
              </w:tabs>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 Exchange:</w:t>
            </w:r>
          </w:p>
        </w:tc>
        <w:tc>
          <w:tcPr>
            <w:tcW w:w="3551" w:type="pct"/>
            <w:shd w:val="clear" w:color="auto" w:fill="auto"/>
            <w:tcMar>
              <w:top w:w="0" w:type="dxa"/>
              <w:bottom w:w="0" w:type="dxa"/>
            </w:tcMar>
            <w:vAlign w:val="center"/>
          </w:tcPr>
          <w:p w14:paraId="74BED6FD" w14:textId="77777777" w:rsidR="00797655" w:rsidRPr="001B667F" w:rsidRDefault="00805667" w:rsidP="000D445B">
            <w:p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HNX</w:t>
            </w:r>
          </w:p>
        </w:tc>
      </w:tr>
      <w:tr w:rsidR="00797655" w:rsidRPr="001B667F" w14:paraId="74BED701" w14:textId="77777777" w:rsidTr="001B667F">
        <w:tc>
          <w:tcPr>
            <w:tcW w:w="1449" w:type="pct"/>
            <w:shd w:val="clear" w:color="auto" w:fill="auto"/>
            <w:tcMar>
              <w:top w:w="0" w:type="dxa"/>
              <w:bottom w:w="0" w:type="dxa"/>
            </w:tcMar>
            <w:vAlign w:val="center"/>
          </w:tcPr>
          <w:p w14:paraId="74BED6FF" w14:textId="77777777" w:rsidR="00797655" w:rsidRPr="001B667F" w:rsidRDefault="00805667" w:rsidP="000D445B">
            <w:pPr>
              <w:numPr>
                <w:ilvl w:val="0"/>
                <w:numId w:val="3"/>
              </w:numPr>
              <w:pBdr>
                <w:top w:val="nil"/>
                <w:left w:val="nil"/>
                <w:bottom w:val="nil"/>
                <w:right w:val="nil"/>
                <w:between w:val="nil"/>
              </w:pBdr>
              <w:tabs>
                <w:tab w:val="left" w:pos="315"/>
              </w:tabs>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 Securities type:</w:t>
            </w:r>
          </w:p>
        </w:tc>
        <w:tc>
          <w:tcPr>
            <w:tcW w:w="3551" w:type="pct"/>
            <w:shd w:val="clear" w:color="auto" w:fill="auto"/>
            <w:tcMar>
              <w:top w:w="0" w:type="dxa"/>
              <w:bottom w:w="0" w:type="dxa"/>
            </w:tcMar>
            <w:vAlign w:val="center"/>
          </w:tcPr>
          <w:p w14:paraId="74BED700" w14:textId="77777777" w:rsidR="00797655" w:rsidRPr="001B667F" w:rsidRDefault="00805667" w:rsidP="000D445B">
            <w:p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Corporate bond</w:t>
            </w:r>
          </w:p>
        </w:tc>
      </w:tr>
      <w:tr w:rsidR="00797655" w:rsidRPr="001B667F" w14:paraId="74BED704" w14:textId="77777777" w:rsidTr="001B667F">
        <w:tc>
          <w:tcPr>
            <w:tcW w:w="1449" w:type="pct"/>
            <w:shd w:val="clear" w:color="auto" w:fill="auto"/>
            <w:tcMar>
              <w:top w:w="0" w:type="dxa"/>
              <w:bottom w:w="0" w:type="dxa"/>
            </w:tcMar>
            <w:vAlign w:val="center"/>
          </w:tcPr>
          <w:p w14:paraId="74BED702" w14:textId="77777777" w:rsidR="00797655" w:rsidRPr="001B667F" w:rsidRDefault="00805667" w:rsidP="000D445B">
            <w:pPr>
              <w:numPr>
                <w:ilvl w:val="0"/>
                <w:numId w:val="3"/>
              </w:numPr>
              <w:pBdr>
                <w:top w:val="nil"/>
                <w:left w:val="nil"/>
                <w:bottom w:val="nil"/>
                <w:right w:val="nil"/>
                <w:between w:val="nil"/>
              </w:pBdr>
              <w:tabs>
                <w:tab w:val="left" w:pos="315"/>
              </w:tabs>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 Par value:</w:t>
            </w:r>
          </w:p>
        </w:tc>
        <w:tc>
          <w:tcPr>
            <w:tcW w:w="3551" w:type="pct"/>
            <w:shd w:val="clear" w:color="auto" w:fill="auto"/>
            <w:tcMar>
              <w:top w:w="0" w:type="dxa"/>
              <w:bottom w:w="0" w:type="dxa"/>
            </w:tcMar>
            <w:vAlign w:val="center"/>
          </w:tcPr>
          <w:p w14:paraId="74BED703" w14:textId="77777777" w:rsidR="00797655" w:rsidRPr="001B667F" w:rsidRDefault="00805667" w:rsidP="000D445B">
            <w:p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VND 100,000</w:t>
            </w:r>
          </w:p>
        </w:tc>
      </w:tr>
      <w:tr w:rsidR="00797655" w:rsidRPr="001B667F" w14:paraId="74BED707" w14:textId="77777777" w:rsidTr="001B667F">
        <w:tc>
          <w:tcPr>
            <w:tcW w:w="1449" w:type="pct"/>
            <w:shd w:val="clear" w:color="auto" w:fill="auto"/>
            <w:tcMar>
              <w:top w:w="0" w:type="dxa"/>
              <w:bottom w:w="0" w:type="dxa"/>
            </w:tcMar>
            <w:vAlign w:val="center"/>
          </w:tcPr>
          <w:p w14:paraId="74BED705" w14:textId="77777777" w:rsidR="00797655" w:rsidRPr="001B667F" w:rsidRDefault="00805667" w:rsidP="000D445B">
            <w:pPr>
              <w:numPr>
                <w:ilvl w:val="0"/>
                <w:numId w:val="3"/>
              </w:numPr>
              <w:pBdr>
                <w:top w:val="nil"/>
                <w:left w:val="nil"/>
                <w:bottom w:val="nil"/>
                <w:right w:val="nil"/>
                <w:between w:val="nil"/>
              </w:pBdr>
              <w:tabs>
                <w:tab w:val="left" w:pos="315"/>
              </w:tabs>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 Term:</w:t>
            </w:r>
          </w:p>
        </w:tc>
        <w:tc>
          <w:tcPr>
            <w:tcW w:w="3551" w:type="pct"/>
            <w:shd w:val="clear" w:color="auto" w:fill="auto"/>
            <w:tcMar>
              <w:top w:w="0" w:type="dxa"/>
              <w:bottom w:w="0" w:type="dxa"/>
            </w:tcMar>
            <w:vAlign w:val="center"/>
          </w:tcPr>
          <w:p w14:paraId="74BED706" w14:textId="77777777" w:rsidR="00797655" w:rsidRPr="001B667F" w:rsidRDefault="00805667" w:rsidP="000D445B">
            <w:p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36 months</w:t>
            </w:r>
          </w:p>
        </w:tc>
      </w:tr>
      <w:tr w:rsidR="00797655" w:rsidRPr="001B667F" w14:paraId="74BED70A" w14:textId="77777777" w:rsidTr="001B667F">
        <w:tc>
          <w:tcPr>
            <w:tcW w:w="1449" w:type="pct"/>
            <w:shd w:val="clear" w:color="auto" w:fill="auto"/>
            <w:tcMar>
              <w:top w:w="0" w:type="dxa"/>
              <w:bottom w:w="0" w:type="dxa"/>
            </w:tcMar>
            <w:vAlign w:val="center"/>
          </w:tcPr>
          <w:p w14:paraId="74BED708" w14:textId="77777777" w:rsidR="00797655" w:rsidRPr="001B667F" w:rsidRDefault="00805667" w:rsidP="000D445B">
            <w:pPr>
              <w:numPr>
                <w:ilvl w:val="0"/>
                <w:numId w:val="3"/>
              </w:numPr>
              <w:pBdr>
                <w:top w:val="nil"/>
                <w:left w:val="nil"/>
                <w:bottom w:val="nil"/>
                <w:right w:val="nil"/>
                <w:between w:val="nil"/>
              </w:pBdr>
              <w:tabs>
                <w:tab w:val="left" w:pos="315"/>
              </w:tabs>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 Issue date:</w:t>
            </w:r>
          </w:p>
        </w:tc>
        <w:tc>
          <w:tcPr>
            <w:tcW w:w="3551" w:type="pct"/>
            <w:shd w:val="clear" w:color="auto" w:fill="auto"/>
            <w:tcMar>
              <w:top w:w="0" w:type="dxa"/>
              <w:bottom w:w="0" w:type="dxa"/>
            </w:tcMar>
            <w:vAlign w:val="center"/>
          </w:tcPr>
          <w:p w14:paraId="74BED709" w14:textId="77777777" w:rsidR="00797655" w:rsidRPr="001B667F" w:rsidRDefault="00805667" w:rsidP="000D445B">
            <w:p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February 10, 2022</w:t>
            </w:r>
          </w:p>
        </w:tc>
      </w:tr>
      <w:tr w:rsidR="00797655" w:rsidRPr="001B667F" w14:paraId="74BED70D" w14:textId="77777777" w:rsidTr="001B667F">
        <w:tc>
          <w:tcPr>
            <w:tcW w:w="1449" w:type="pct"/>
            <w:shd w:val="clear" w:color="auto" w:fill="auto"/>
            <w:tcMar>
              <w:top w:w="0" w:type="dxa"/>
              <w:bottom w:w="0" w:type="dxa"/>
            </w:tcMar>
            <w:vAlign w:val="center"/>
          </w:tcPr>
          <w:p w14:paraId="74BED70B" w14:textId="77777777" w:rsidR="00797655" w:rsidRPr="001B667F" w:rsidRDefault="00805667" w:rsidP="000D445B">
            <w:pPr>
              <w:numPr>
                <w:ilvl w:val="0"/>
                <w:numId w:val="3"/>
              </w:numPr>
              <w:pBdr>
                <w:top w:val="nil"/>
                <w:left w:val="nil"/>
                <w:bottom w:val="nil"/>
                <w:right w:val="nil"/>
                <w:between w:val="nil"/>
              </w:pBdr>
              <w:tabs>
                <w:tab w:val="left" w:pos="315"/>
              </w:tabs>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 Maturity date:</w:t>
            </w:r>
          </w:p>
        </w:tc>
        <w:tc>
          <w:tcPr>
            <w:tcW w:w="3551" w:type="pct"/>
            <w:shd w:val="clear" w:color="auto" w:fill="auto"/>
            <w:tcMar>
              <w:top w:w="0" w:type="dxa"/>
              <w:bottom w:w="0" w:type="dxa"/>
            </w:tcMar>
            <w:vAlign w:val="center"/>
          </w:tcPr>
          <w:p w14:paraId="74BED70C" w14:textId="77777777" w:rsidR="00797655" w:rsidRPr="001B667F" w:rsidRDefault="00805667" w:rsidP="000D445B">
            <w:p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February 10, 2025</w:t>
            </w:r>
          </w:p>
        </w:tc>
      </w:tr>
      <w:tr w:rsidR="00797655" w:rsidRPr="001B667F" w14:paraId="74BED710" w14:textId="77777777" w:rsidTr="001B667F">
        <w:tc>
          <w:tcPr>
            <w:tcW w:w="1449" w:type="pct"/>
            <w:shd w:val="clear" w:color="auto" w:fill="auto"/>
            <w:tcMar>
              <w:top w:w="0" w:type="dxa"/>
              <w:bottom w:w="0" w:type="dxa"/>
            </w:tcMar>
            <w:vAlign w:val="center"/>
          </w:tcPr>
          <w:p w14:paraId="74BED70E" w14:textId="77777777" w:rsidR="00797655" w:rsidRPr="001B667F" w:rsidRDefault="00805667" w:rsidP="000D445B">
            <w:pPr>
              <w:numPr>
                <w:ilvl w:val="0"/>
                <w:numId w:val="3"/>
              </w:numPr>
              <w:pBdr>
                <w:top w:val="nil"/>
                <w:left w:val="nil"/>
                <w:bottom w:val="nil"/>
                <w:right w:val="nil"/>
                <w:between w:val="nil"/>
              </w:pBdr>
              <w:tabs>
                <w:tab w:val="left" w:pos="315"/>
              </w:tabs>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 Interest rate:</w:t>
            </w:r>
          </w:p>
        </w:tc>
        <w:tc>
          <w:tcPr>
            <w:tcW w:w="3551" w:type="pct"/>
            <w:shd w:val="clear" w:color="auto" w:fill="auto"/>
            <w:tcMar>
              <w:top w:w="0" w:type="dxa"/>
              <w:bottom w:w="0" w:type="dxa"/>
            </w:tcMar>
            <w:vAlign w:val="center"/>
          </w:tcPr>
          <w:p w14:paraId="74BED70F" w14:textId="77777777" w:rsidR="00797655" w:rsidRPr="001B667F" w:rsidRDefault="00805667" w:rsidP="000D445B">
            <w:p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10.5% per year</w:t>
            </w:r>
          </w:p>
        </w:tc>
      </w:tr>
      <w:tr w:rsidR="00797655" w:rsidRPr="001B667F" w14:paraId="74BED713" w14:textId="77777777" w:rsidTr="001B667F">
        <w:tc>
          <w:tcPr>
            <w:tcW w:w="1449" w:type="pct"/>
            <w:shd w:val="clear" w:color="auto" w:fill="auto"/>
            <w:tcMar>
              <w:top w:w="0" w:type="dxa"/>
              <w:bottom w:w="0" w:type="dxa"/>
            </w:tcMar>
            <w:vAlign w:val="center"/>
          </w:tcPr>
          <w:p w14:paraId="74BED711" w14:textId="77777777" w:rsidR="00797655" w:rsidRPr="001B667F" w:rsidRDefault="00805667" w:rsidP="000D445B">
            <w:pPr>
              <w:numPr>
                <w:ilvl w:val="0"/>
                <w:numId w:val="3"/>
              </w:numPr>
              <w:pBdr>
                <w:top w:val="nil"/>
                <w:left w:val="nil"/>
                <w:bottom w:val="nil"/>
                <w:right w:val="nil"/>
                <w:between w:val="nil"/>
              </w:pBdr>
              <w:tabs>
                <w:tab w:val="left" w:pos="315"/>
              </w:tabs>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 Record date:</w:t>
            </w:r>
          </w:p>
        </w:tc>
        <w:tc>
          <w:tcPr>
            <w:tcW w:w="3551" w:type="pct"/>
            <w:shd w:val="clear" w:color="auto" w:fill="auto"/>
            <w:tcMar>
              <w:top w:w="0" w:type="dxa"/>
              <w:bottom w:w="0" w:type="dxa"/>
            </w:tcMar>
            <w:vAlign w:val="center"/>
          </w:tcPr>
          <w:p w14:paraId="74BED712" w14:textId="77777777" w:rsidR="00797655" w:rsidRPr="001B667F" w:rsidRDefault="00805667" w:rsidP="000D445B">
            <w:p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January 31, 2024</w:t>
            </w:r>
          </w:p>
        </w:tc>
      </w:tr>
      <w:tr w:rsidR="00797655" w:rsidRPr="001B667F" w14:paraId="74BED716" w14:textId="77777777" w:rsidTr="001B667F">
        <w:tc>
          <w:tcPr>
            <w:tcW w:w="1449" w:type="pct"/>
            <w:shd w:val="clear" w:color="auto" w:fill="auto"/>
            <w:tcMar>
              <w:top w:w="0" w:type="dxa"/>
              <w:bottom w:w="0" w:type="dxa"/>
            </w:tcMar>
            <w:vAlign w:val="center"/>
          </w:tcPr>
          <w:p w14:paraId="74BED714" w14:textId="77777777" w:rsidR="00797655" w:rsidRPr="001B667F" w:rsidRDefault="00805667" w:rsidP="000D445B">
            <w:pPr>
              <w:numPr>
                <w:ilvl w:val="0"/>
                <w:numId w:val="3"/>
              </w:numPr>
              <w:pBdr>
                <w:top w:val="nil"/>
                <w:left w:val="nil"/>
                <w:bottom w:val="nil"/>
                <w:right w:val="nil"/>
                <w:between w:val="nil"/>
              </w:pBdr>
              <w:tabs>
                <w:tab w:val="left" w:pos="315"/>
              </w:tabs>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 Reason and purpose:</w:t>
            </w:r>
          </w:p>
        </w:tc>
        <w:tc>
          <w:tcPr>
            <w:tcW w:w="3551" w:type="pct"/>
            <w:shd w:val="clear" w:color="auto" w:fill="auto"/>
            <w:tcMar>
              <w:top w:w="0" w:type="dxa"/>
              <w:bottom w:w="0" w:type="dxa"/>
            </w:tcMar>
            <w:vAlign w:val="center"/>
          </w:tcPr>
          <w:p w14:paraId="74BED715" w14:textId="77777777" w:rsidR="00797655" w:rsidRPr="001B667F" w:rsidRDefault="00805667" w:rsidP="000D445B">
            <w:p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Pay interest on corporate bonds for period 4 (from and including August 10, 2023 to and excluding February 10, 2024)</w:t>
            </w:r>
          </w:p>
        </w:tc>
      </w:tr>
    </w:tbl>
    <w:p w14:paraId="74BED717" w14:textId="77777777" w:rsidR="00797655" w:rsidRPr="001B667F" w:rsidRDefault="00805667" w:rsidP="000D445B">
      <w:pPr>
        <w:numPr>
          <w:ilvl w:val="0"/>
          <w:numId w:val="3"/>
        </w:numPr>
        <w:pBdr>
          <w:top w:val="nil"/>
          <w:left w:val="nil"/>
          <w:bottom w:val="nil"/>
          <w:right w:val="nil"/>
          <w:between w:val="nil"/>
        </w:pBdr>
        <w:tabs>
          <w:tab w:val="left" w:pos="315"/>
        </w:tabs>
        <w:spacing w:after="120" w:line="360" w:lineRule="auto"/>
        <w:jc w:val="both"/>
        <w:rPr>
          <w:rFonts w:ascii="Arial" w:eastAsia="Arial" w:hAnsi="Arial" w:cs="Arial"/>
          <w:color w:val="010000"/>
          <w:sz w:val="20"/>
          <w:szCs w:val="20"/>
        </w:rPr>
      </w:pPr>
      <w:r w:rsidRPr="001B667F">
        <w:rPr>
          <w:rFonts w:ascii="Arial" w:hAnsi="Arial" w:cs="Arial"/>
          <w:color w:val="010000"/>
          <w:sz w:val="20"/>
        </w:rPr>
        <w:t>Exercise rate:</w:t>
      </w:r>
    </w:p>
    <w:p w14:paraId="74BED718" w14:textId="7ACD98FE" w:rsidR="00797655" w:rsidRPr="001B667F" w:rsidRDefault="00805667" w:rsidP="000D445B">
      <w:pPr>
        <w:numPr>
          <w:ilvl w:val="0"/>
          <w:numId w:val="5"/>
        </w:num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Bondholders receive VND 5,293.151 for every bond they own. Interest is calculated according to the formula: </w:t>
      </w:r>
      <w:r w:rsidR="001B667F" w:rsidRPr="001B667F">
        <w:rPr>
          <w:rFonts w:ascii="Arial" w:hAnsi="Arial" w:cs="Arial"/>
          <w:color w:val="010000"/>
          <w:sz w:val="20"/>
        </w:rPr>
        <w:t xml:space="preserve">VND </w:t>
      </w:r>
      <w:r w:rsidRPr="001B667F">
        <w:rPr>
          <w:rFonts w:ascii="Arial" w:hAnsi="Arial" w:cs="Arial"/>
          <w:color w:val="010000"/>
          <w:sz w:val="20"/>
        </w:rPr>
        <w:t>100,000 X 10.5% X 184 (days)/365 (days), rounded to 3 decimal places;</w:t>
      </w:r>
    </w:p>
    <w:p w14:paraId="74BED719" w14:textId="77777777" w:rsidR="00797655" w:rsidRPr="001B667F" w:rsidRDefault="00805667" w:rsidP="000D445B">
      <w:pPr>
        <w:numPr>
          <w:ilvl w:val="0"/>
          <w:numId w:val="5"/>
        </w:num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The total amount of bond interest actually received by bondholders will be rounded to the unit (if the first decimal place is equal to or greater than 5, it is rounded up, if the first decimal place is less than 5, it is canceled).</w:t>
      </w:r>
    </w:p>
    <w:p w14:paraId="74BED71A" w14:textId="77777777" w:rsidR="00797655" w:rsidRPr="001B667F" w:rsidRDefault="00805667" w:rsidP="000D445B">
      <w:pPr>
        <w:numPr>
          <w:ilvl w:val="0"/>
          <w:numId w:val="4"/>
        </w:numPr>
        <w:pBdr>
          <w:top w:val="nil"/>
          <w:left w:val="nil"/>
          <w:bottom w:val="nil"/>
          <w:right w:val="nil"/>
          <w:between w:val="nil"/>
        </w:pBdr>
        <w:tabs>
          <w:tab w:val="left" w:pos="276"/>
        </w:tabs>
        <w:spacing w:after="120" w:line="360" w:lineRule="auto"/>
        <w:jc w:val="both"/>
        <w:rPr>
          <w:rFonts w:ascii="Arial" w:eastAsia="Arial" w:hAnsi="Arial" w:cs="Arial"/>
          <w:color w:val="010000"/>
          <w:sz w:val="20"/>
          <w:szCs w:val="20"/>
        </w:rPr>
      </w:pPr>
      <w:r w:rsidRPr="001B667F">
        <w:rPr>
          <w:rFonts w:ascii="Arial" w:hAnsi="Arial" w:cs="Arial"/>
          <w:color w:val="010000"/>
          <w:sz w:val="20"/>
        </w:rPr>
        <w:t>Implementation time: February 15, 2024 (as February 10, 2024 falls on the Lunar New Year holiday).</w:t>
      </w:r>
    </w:p>
    <w:p w14:paraId="74BED71B" w14:textId="77777777" w:rsidR="00797655" w:rsidRPr="001B667F" w:rsidRDefault="00805667" w:rsidP="000D445B">
      <w:pPr>
        <w:numPr>
          <w:ilvl w:val="0"/>
          <w:numId w:val="4"/>
        </w:numPr>
        <w:pBdr>
          <w:top w:val="nil"/>
          <w:left w:val="nil"/>
          <w:bottom w:val="nil"/>
          <w:right w:val="nil"/>
          <w:between w:val="nil"/>
        </w:pBdr>
        <w:tabs>
          <w:tab w:val="left" w:pos="276"/>
        </w:tabs>
        <w:spacing w:after="120" w:line="360" w:lineRule="auto"/>
        <w:jc w:val="both"/>
        <w:rPr>
          <w:rFonts w:ascii="Arial" w:eastAsia="Arial" w:hAnsi="Arial" w:cs="Arial"/>
          <w:color w:val="010000"/>
          <w:sz w:val="20"/>
          <w:szCs w:val="20"/>
        </w:rPr>
      </w:pPr>
      <w:r w:rsidRPr="001B667F">
        <w:rPr>
          <w:rFonts w:ascii="Arial" w:hAnsi="Arial" w:cs="Arial"/>
          <w:color w:val="010000"/>
          <w:sz w:val="20"/>
        </w:rPr>
        <w:t>Implementation venue:</w:t>
      </w:r>
    </w:p>
    <w:p w14:paraId="74BED71C" w14:textId="77777777" w:rsidR="00797655" w:rsidRPr="001B667F" w:rsidRDefault="00805667" w:rsidP="000D445B">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For deposited securities: Owners carry out procedures to receive corporate bond interest at Depository Members where depository accounts are opened.</w:t>
      </w:r>
    </w:p>
    <w:p w14:paraId="74BED71D" w14:textId="77777777" w:rsidR="00797655" w:rsidRPr="001B667F" w:rsidRDefault="00805667" w:rsidP="000D445B">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1B667F">
        <w:rPr>
          <w:rFonts w:ascii="Arial" w:hAnsi="Arial" w:cs="Arial"/>
          <w:color w:val="010000"/>
          <w:sz w:val="20"/>
        </w:rPr>
        <w:t xml:space="preserve">For </w:t>
      </w:r>
      <w:proofErr w:type="spellStart"/>
      <w:r w:rsidRPr="001B667F">
        <w:rPr>
          <w:rFonts w:ascii="Arial" w:hAnsi="Arial" w:cs="Arial"/>
          <w:color w:val="010000"/>
          <w:sz w:val="20"/>
        </w:rPr>
        <w:t>undeposited</w:t>
      </w:r>
      <w:proofErr w:type="spellEnd"/>
      <w:r w:rsidRPr="001B667F">
        <w:rPr>
          <w:rFonts w:ascii="Arial" w:hAnsi="Arial" w:cs="Arial"/>
          <w:color w:val="010000"/>
          <w:sz w:val="20"/>
        </w:rPr>
        <w:t xml:space="preserve"> securities: Owners shall carry out procedures to receive corporate bond interest at CMC Joint Stock Company, starting from February 15, 2024 and present their identity </w:t>
      </w:r>
      <w:proofErr w:type="gramStart"/>
      <w:r w:rsidRPr="001B667F">
        <w:rPr>
          <w:rFonts w:ascii="Arial" w:hAnsi="Arial" w:cs="Arial"/>
          <w:color w:val="010000"/>
          <w:sz w:val="20"/>
        </w:rPr>
        <w:t>card/citizen</w:t>
      </w:r>
      <w:proofErr w:type="gramEnd"/>
      <w:r w:rsidRPr="001B667F">
        <w:rPr>
          <w:rFonts w:ascii="Arial" w:hAnsi="Arial" w:cs="Arial"/>
          <w:color w:val="010000"/>
          <w:sz w:val="20"/>
        </w:rPr>
        <w:t xml:space="preserve"> identification card.</w:t>
      </w:r>
    </w:p>
    <w:bookmarkEnd w:id="0"/>
    <w:p w14:paraId="74BED721" w14:textId="390067CB" w:rsidR="00797655" w:rsidRPr="001B667F" w:rsidRDefault="00797655" w:rsidP="001B667F">
      <w:pPr>
        <w:pBdr>
          <w:top w:val="nil"/>
          <w:left w:val="nil"/>
          <w:bottom w:val="nil"/>
          <w:right w:val="nil"/>
          <w:between w:val="nil"/>
        </w:pBdr>
        <w:spacing w:after="120" w:line="360" w:lineRule="auto"/>
        <w:rPr>
          <w:rFonts w:ascii="Arial" w:eastAsia="Arial" w:hAnsi="Arial" w:cs="Arial"/>
          <w:color w:val="010000"/>
          <w:sz w:val="20"/>
          <w:szCs w:val="20"/>
        </w:rPr>
      </w:pPr>
    </w:p>
    <w:sectPr w:rsidR="00797655" w:rsidRPr="001B667F" w:rsidSect="001B667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4261D"/>
    <w:multiLevelType w:val="multilevel"/>
    <w:tmpl w:val="B00688C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8487806"/>
    <w:multiLevelType w:val="multilevel"/>
    <w:tmpl w:val="835A859C"/>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9AF6841"/>
    <w:multiLevelType w:val="multilevel"/>
    <w:tmpl w:val="B094A86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262023E"/>
    <w:multiLevelType w:val="multilevel"/>
    <w:tmpl w:val="A5A2DCDE"/>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1A340E5"/>
    <w:multiLevelType w:val="multilevel"/>
    <w:tmpl w:val="5644CD2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55"/>
    <w:rsid w:val="000D445B"/>
    <w:rsid w:val="001B667F"/>
    <w:rsid w:val="006E0D32"/>
    <w:rsid w:val="00797655"/>
    <w:rsid w:val="00805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E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711C39"/>
      <w:sz w:val="16"/>
      <w:szCs w:val="16"/>
      <w:u w:val="singl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B11145"/>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iCs/>
      <w:smallCaps w:val="0"/>
      <w:strike w:val="0"/>
      <w:sz w:val="34"/>
      <w:szCs w:val="3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22" w:lineRule="auto"/>
      <w:ind w:firstLine="290"/>
    </w:pPr>
    <w:rPr>
      <w:rFonts w:ascii="Times New Roman" w:eastAsia="Times New Roman" w:hAnsi="Times New Roman" w:cs="Times New Roman"/>
    </w:rPr>
  </w:style>
  <w:style w:type="paragraph" w:customStyle="1" w:styleId="Bodytext30">
    <w:name w:val="Body text (3)"/>
    <w:basedOn w:val="Normal"/>
    <w:link w:val="Bodytext3"/>
    <w:pPr>
      <w:jc w:val="right"/>
    </w:pPr>
    <w:rPr>
      <w:rFonts w:ascii="Arial" w:eastAsia="Arial" w:hAnsi="Arial" w:cs="Arial"/>
      <w:color w:val="711C39"/>
      <w:sz w:val="16"/>
      <w:szCs w:val="16"/>
      <w:u w:val="single"/>
    </w:rPr>
  </w:style>
  <w:style w:type="paragraph" w:customStyle="1" w:styleId="Bodytext40">
    <w:name w:val="Body text (4)"/>
    <w:basedOn w:val="Normal"/>
    <w:link w:val="Bodytext4"/>
    <w:pPr>
      <w:jc w:val="right"/>
    </w:pPr>
    <w:rPr>
      <w:rFonts w:ascii="Arial" w:eastAsia="Arial" w:hAnsi="Arial" w:cs="Arial"/>
      <w:b/>
      <w:bCs/>
      <w:color w:val="B11145"/>
      <w:sz w:val="22"/>
      <w:szCs w:val="22"/>
    </w:rPr>
  </w:style>
  <w:style w:type="paragraph" w:customStyle="1" w:styleId="Bodytext50">
    <w:name w:val="Body text (5)"/>
    <w:basedOn w:val="Normal"/>
    <w:link w:val="Bodytext5"/>
    <w:pPr>
      <w:jc w:val="center"/>
    </w:pPr>
    <w:rPr>
      <w:rFonts w:ascii="Arial" w:eastAsia="Arial" w:hAnsi="Arial" w:cs="Arial"/>
      <w:i/>
      <w:iCs/>
      <w:sz w:val="34"/>
      <w:szCs w:val="34"/>
    </w:rPr>
  </w:style>
  <w:style w:type="paragraph" w:customStyle="1" w:styleId="Tablecaption0">
    <w:name w:val="Table caption"/>
    <w:basedOn w:val="Normal"/>
    <w:link w:val="Tablecaption"/>
    <w:pPr>
      <w:spacing w:line="264" w:lineRule="auto"/>
      <w:ind w:firstLine="80"/>
    </w:pPr>
    <w:rPr>
      <w:rFonts w:ascii="Times New Roman" w:eastAsia="Times New Roman" w:hAnsi="Times New Roman" w:cs="Times New Roman"/>
    </w:rPr>
  </w:style>
  <w:style w:type="paragraph" w:customStyle="1" w:styleId="Other0">
    <w:name w:val="Other"/>
    <w:basedOn w:val="Normal"/>
    <w:link w:val="Other"/>
    <w:pPr>
      <w:spacing w:line="322" w:lineRule="auto"/>
      <w:ind w:firstLine="290"/>
    </w:pPr>
    <w:rPr>
      <w:rFonts w:ascii="Times New Roman" w:eastAsia="Times New Roman" w:hAnsi="Times New Roman" w:cs="Times New Roman"/>
    </w:rPr>
  </w:style>
  <w:style w:type="paragraph" w:customStyle="1" w:styleId="Bodytext20">
    <w:name w:val="Body text (2)"/>
    <w:basedOn w:val="Normal"/>
    <w:link w:val="Bodytext2"/>
    <w:pPr>
      <w:spacing w:line="305" w:lineRule="auto"/>
      <w:ind w:left="90" w:firstLine="18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711C39"/>
      <w:sz w:val="16"/>
      <w:szCs w:val="16"/>
      <w:u w:val="singl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B11145"/>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iCs/>
      <w:smallCaps w:val="0"/>
      <w:strike w:val="0"/>
      <w:sz w:val="34"/>
      <w:szCs w:val="3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22" w:lineRule="auto"/>
      <w:ind w:firstLine="290"/>
    </w:pPr>
    <w:rPr>
      <w:rFonts w:ascii="Times New Roman" w:eastAsia="Times New Roman" w:hAnsi="Times New Roman" w:cs="Times New Roman"/>
    </w:rPr>
  </w:style>
  <w:style w:type="paragraph" w:customStyle="1" w:styleId="Bodytext30">
    <w:name w:val="Body text (3)"/>
    <w:basedOn w:val="Normal"/>
    <w:link w:val="Bodytext3"/>
    <w:pPr>
      <w:jc w:val="right"/>
    </w:pPr>
    <w:rPr>
      <w:rFonts w:ascii="Arial" w:eastAsia="Arial" w:hAnsi="Arial" w:cs="Arial"/>
      <w:color w:val="711C39"/>
      <w:sz w:val="16"/>
      <w:szCs w:val="16"/>
      <w:u w:val="single"/>
    </w:rPr>
  </w:style>
  <w:style w:type="paragraph" w:customStyle="1" w:styleId="Bodytext40">
    <w:name w:val="Body text (4)"/>
    <w:basedOn w:val="Normal"/>
    <w:link w:val="Bodytext4"/>
    <w:pPr>
      <w:jc w:val="right"/>
    </w:pPr>
    <w:rPr>
      <w:rFonts w:ascii="Arial" w:eastAsia="Arial" w:hAnsi="Arial" w:cs="Arial"/>
      <w:b/>
      <w:bCs/>
      <w:color w:val="B11145"/>
      <w:sz w:val="22"/>
      <w:szCs w:val="22"/>
    </w:rPr>
  </w:style>
  <w:style w:type="paragraph" w:customStyle="1" w:styleId="Bodytext50">
    <w:name w:val="Body text (5)"/>
    <w:basedOn w:val="Normal"/>
    <w:link w:val="Bodytext5"/>
    <w:pPr>
      <w:jc w:val="center"/>
    </w:pPr>
    <w:rPr>
      <w:rFonts w:ascii="Arial" w:eastAsia="Arial" w:hAnsi="Arial" w:cs="Arial"/>
      <w:i/>
      <w:iCs/>
      <w:sz w:val="34"/>
      <w:szCs w:val="34"/>
    </w:rPr>
  </w:style>
  <w:style w:type="paragraph" w:customStyle="1" w:styleId="Tablecaption0">
    <w:name w:val="Table caption"/>
    <w:basedOn w:val="Normal"/>
    <w:link w:val="Tablecaption"/>
    <w:pPr>
      <w:spacing w:line="264" w:lineRule="auto"/>
      <w:ind w:firstLine="80"/>
    </w:pPr>
    <w:rPr>
      <w:rFonts w:ascii="Times New Roman" w:eastAsia="Times New Roman" w:hAnsi="Times New Roman" w:cs="Times New Roman"/>
    </w:rPr>
  </w:style>
  <w:style w:type="paragraph" w:customStyle="1" w:styleId="Other0">
    <w:name w:val="Other"/>
    <w:basedOn w:val="Normal"/>
    <w:link w:val="Other"/>
    <w:pPr>
      <w:spacing w:line="322" w:lineRule="auto"/>
      <w:ind w:firstLine="290"/>
    </w:pPr>
    <w:rPr>
      <w:rFonts w:ascii="Times New Roman" w:eastAsia="Times New Roman" w:hAnsi="Times New Roman" w:cs="Times New Roman"/>
    </w:rPr>
  </w:style>
  <w:style w:type="paragraph" w:customStyle="1" w:styleId="Bodytext20">
    <w:name w:val="Body text (2)"/>
    <w:basedOn w:val="Normal"/>
    <w:link w:val="Bodytext2"/>
    <w:pPr>
      <w:spacing w:line="305" w:lineRule="auto"/>
      <w:ind w:left="90" w:firstLine="18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MKwzp7PNKAi2Z5jvBRYkEuRrQw==">CgMxLjA4AHIhMWk3R1BBdWxmWERzRENiRVEzcUktMDl3cGMzdGhCM3hl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2024-01-24T04:02:00Z</dcterms:created>
  <dcterms:modified xsi:type="dcterms:W3CDTF">2024-01-25T04:58:00Z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21d46f03741a77821ce2e7c442c734c065cde5ed2722c421a3d4831ea1614b04</vt:lpwstr>
  </property>
</Properties>
</file>