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51D42" w14:textId="77777777" w:rsidR="00A142A5" w:rsidRDefault="00C43A25">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Start w:id="1" w:name="_GoBack"/>
      <w:bookmarkEnd w:id="0"/>
      <w:bookmarkEnd w:id="1"/>
      <w:r>
        <w:rPr>
          <w:rFonts w:ascii="Arial" w:hAnsi="Arial"/>
          <w:b/>
          <w:color w:val="010000"/>
          <w:sz w:val="20"/>
        </w:rPr>
        <w:t>PV2: Report on overcoming the situation of securities put under alert</w:t>
      </w:r>
    </w:p>
    <w:p w14:paraId="0C451D43" w14:textId="77777777" w:rsidR="00A142A5" w:rsidRDefault="00C43A2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January 19, 2024, PV2 Investment JSC announced Official Dispatch No. 08/PV2-VP on the report on overcoming the situation of securities put under alert as follows:</w:t>
      </w:r>
    </w:p>
    <w:p w14:paraId="0C451D44" w14:textId="77777777" w:rsidR="00A142A5" w:rsidRDefault="00C43A25">
      <w:pPr>
        <w:numPr>
          <w:ilvl w:val="0"/>
          <w:numId w:val="1"/>
        </w:numPr>
        <w:pBdr>
          <w:top w:val="nil"/>
          <w:left w:val="nil"/>
          <w:bottom w:val="nil"/>
          <w:right w:val="nil"/>
          <w:between w:val="nil"/>
        </w:pBdr>
        <w:tabs>
          <w:tab w:val="left" w:pos="975"/>
        </w:tabs>
        <w:spacing w:after="120" w:line="360" w:lineRule="auto"/>
        <w:jc w:val="both"/>
        <w:rPr>
          <w:rFonts w:ascii="Arial" w:eastAsia="Arial" w:hAnsi="Arial" w:cs="Arial"/>
          <w:color w:val="010000"/>
          <w:sz w:val="20"/>
          <w:szCs w:val="20"/>
        </w:rPr>
      </w:pPr>
      <w:r>
        <w:rPr>
          <w:rFonts w:ascii="Arial" w:hAnsi="Arial"/>
          <w:color w:val="010000"/>
          <w:sz w:val="20"/>
        </w:rPr>
        <w:t xml:space="preserve">On the basis of recognizing and evaluating opportunities, challenges and risks, the Board </w:t>
      </w:r>
      <w:r>
        <w:rPr>
          <w:rFonts w:ascii="Arial" w:hAnsi="Arial"/>
          <w:color w:val="010000"/>
          <w:sz w:val="20"/>
        </w:rPr>
        <w:t>of Directors and the Executive Board of PV2 have oriented PV2's activities in the coming time towards focusing on projects invested by the Company, continuing to divest capital and recover ineffective investments; finding and investing in projects with rea</w:t>
      </w:r>
      <w:r>
        <w:rPr>
          <w:rFonts w:ascii="Arial" w:hAnsi="Arial"/>
          <w:color w:val="010000"/>
          <w:sz w:val="20"/>
        </w:rPr>
        <w:t>l potential, controlling, saving and managing expenses to achieve the highest business efficiency.</w:t>
      </w:r>
    </w:p>
    <w:p w14:paraId="0C451D45" w14:textId="77777777" w:rsidR="00A142A5" w:rsidRDefault="00C43A25">
      <w:pPr>
        <w:numPr>
          <w:ilvl w:val="0"/>
          <w:numId w:val="1"/>
        </w:numPr>
        <w:pBdr>
          <w:top w:val="nil"/>
          <w:left w:val="nil"/>
          <w:bottom w:val="nil"/>
          <w:right w:val="nil"/>
          <w:between w:val="nil"/>
        </w:pBdr>
        <w:tabs>
          <w:tab w:val="left" w:pos="995"/>
        </w:tabs>
        <w:spacing w:after="120" w:line="360" w:lineRule="auto"/>
        <w:jc w:val="both"/>
        <w:rPr>
          <w:rFonts w:ascii="Arial" w:eastAsia="Arial" w:hAnsi="Arial" w:cs="Arial"/>
          <w:color w:val="010000"/>
          <w:sz w:val="20"/>
          <w:szCs w:val="20"/>
        </w:rPr>
      </w:pPr>
      <w:r>
        <w:rPr>
          <w:rFonts w:ascii="Arial" w:hAnsi="Arial"/>
          <w:color w:val="010000"/>
          <w:sz w:val="20"/>
        </w:rPr>
        <w:t>In management and administration, the Company continues to review and amend and perfect the system of internal regulations and regulations on corporate gover</w:t>
      </w:r>
      <w:r>
        <w:rPr>
          <w:rFonts w:ascii="Arial" w:hAnsi="Arial"/>
          <w:color w:val="010000"/>
          <w:sz w:val="20"/>
        </w:rPr>
        <w:t>nance to ensure that the corporate governance system gradually approaches the best corporate governance practices, consistent with consistent the Company's characteristics.</w:t>
      </w:r>
    </w:p>
    <w:p w14:paraId="0C451D46" w14:textId="77777777" w:rsidR="00A142A5" w:rsidRDefault="00C43A25">
      <w:pPr>
        <w:numPr>
          <w:ilvl w:val="0"/>
          <w:numId w:val="1"/>
        </w:numPr>
        <w:pBdr>
          <w:top w:val="nil"/>
          <w:left w:val="nil"/>
          <w:bottom w:val="nil"/>
          <w:right w:val="nil"/>
          <w:between w:val="nil"/>
        </w:pBdr>
        <w:tabs>
          <w:tab w:val="left" w:pos="980"/>
        </w:tabs>
        <w:spacing w:after="120" w:line="360" w:lineRule="auto"/>
        <w:jc w:val="both"/>
        <w:rPr>
          <w:rFonts w:ascii="Arial" w:eastAsia="Arial" w:hAnsi="Arial" w:cs="Arial"/>
          <w:color w:val="010000"/>
          <w:sz w:val="20"/>
          <w:szCs w:val="20"/>
        </w:rPr>
      </w:pPr>
      <w:r>
        <w:rPr>
          <w:rFonts w:ascii="Arial" w:hAnsi="Arial"/>
          <w:color w:val="010000"/>
          <w:sz w:val="20"/>
        </w:rPr>
        <w:t>By the end of December 31, 2023, the Company's profit after tax in 2023 is VND 8.4 billion, contributing to reducing the Company's accumulated losses.</w:t>
      </w:r>
    </w:p>
    <w:p w14:paraId="0C451D47" w14:textId="77777777" w:rsidR="00A142A5" w:rsidRDefault="00A142A5">
      <w:pPr>
        <w:spacing w:after="120" w:line="360" w:lineRule="auto"/>
        <w:jc w:val="both"/>
        <w:rPr>
          <w:rFonts w:ascii="Arial" w:eastAsia="Arial" w:hAnsi="Arial" w:cs="Arial"/>
          <w:color w:val="010000"/>
          <w:sz w:val="20"/>
          <w:szCs w:val="20"/>
        </w:rPr>
      </w:pPr>
    </w:p>
    <w:sectPr w:rsidR="00A142A5">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F1878"/>
    <w:multiLevelType w:val="multilevel"/>
    <w:tmpl w:val="AC9E9842"/>
    <w:lvl w:ilvl="0">
      <w:start w:val="1"/>
      <w:numFmt w:val="bullet"/>
      <w:lvlText w:val="-"/>
      <w:lvlJc w:val="left"/>
      <w:pPr>
        <w:ind w:left="0" w:firstLine="0"/>
      </w:pPr>
      <w:rPr>
        <w:rFonts w:ascii="Arial" w:eastAsia="Arial" w:hAnsi="Arial" w:cs="Arial"/>
        <w:b w:val="0"/>
        <w:i w:val="0"/>
        <w:smallCaps w:val="0"/>
        <w:strike w:val="0"/>
        <w:color w:val="21212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A5"/>
    <w:rsid w:val="00A142A5"/>
    <w:rsid w:val="00C4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1D42"/>
  <w15:docId w15:val="{A807E824-0B7E-4125-B8BF-0352CDA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212121"/>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12121"/>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30">
    <w:name w:val="Văn bản nội dung (3)"/>
    <w:basedOn w:val="Normal"/>
    <w:link w:val="Vnbnnidung3"/>
    <w:pPr>
      <w:spacing w:line="250" w:lineRule="auto"/>
      <w:ind w:left="1430" w:hanging="790"/>
    </w:pPr>
    <w:rPr>
      <w:rFonts w:ascii="Times New Roman" w:eastAsia="Times New Roman" w:hAnsi="Times New Roman" w:cs="Times New Roman"/>
      <w:b/>
      <w:bCs/>
      <w:color w:val="212121"/>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212121"/>
      <w:sz w:val="26"/>
      <w:szCs w:val="26"/>
    </w:rPr>
  </w:style>
  <w:style w:type="paragraph" w:customStyle="1" w:styleId="Vnbnnidung20">
    <w:name w:val="Văn bản nội dung (2)"/>
    <w:basedOn w:val="Normal"/>
    <w:link w:val="Vnbnnidung2"/>
    <w:pPr>
      <w:spacing w:line="175"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q3vECrY6IM0k3m5UMzTmqIR4oA==">CgMxLjAyCGguZ2pkZ3hzOAByITFBWGVJZmdqbnR5NjRvaEJSaUdEMFdZWHNUbDNMSlAwTw==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Minh Hiếu Kiều</cp:lastModifiedBy>
  <cp:revision>1</cp:revision>
  <dcterms:created xsi:type="dcterms:W3CDTF">2024-01-24T03:45:00Z</dcterms:created>
  <dcterms:modified xsi:type="dcterms:W3CDTF">2024-01-24T23:12:00Z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0668c6bd8c88b1f7e8e8a6fe246278ad860940eba938931556bf52f6cc6ab6e4</vt:lpwstr>
  </property>
</Properties>
</file>