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C3FE7" w14:textId="77777777" w:rsidR="00336FC0" w:rsidRPr="00050C59" w:rsidRDefault="00336FC0" w:rsidP="00B933EF">
      <w:pPr>
        <w:pStyle w:val="Bodytext20"/>
        <w:tabs>
          <w:tab w:val="left" w:pos="432"/>
        </w:tabs>
        <w:spacing w:after="120"/>
        <w:ind w:left="0" w:firstLine="0"/>
        <w:rPr>
          <w:rFonts w:ascii="Arial" w:hAnsi="Arial" w:cs="Arial"/>
          <w:color w:val="010000"/>
          <w:sz w:val="20"/>
        </w:rPr>
      </w:pPr>
      <w:bookmarkStart w:id="0" w:name="_GoBack"/>
      <w:bookmarkEnd w:id="0"/>
      <w:r w:rsidRPr="00050C59">
        <w:rPr>
          <w:rFonts w:ascii="Arial" w:hAnsi="Arial" w:cs="Arial"/>
          <w:color w:val="010000"/>
          <w:sz w:val="20"/>
        </w:rPr>
        <w:t>SDK: Board Resolution</w:t>
      </w:r>
    </w:p>
    <w:p w14:paraId="4931366B" w14:textId="3A488839" w:rsidR="005A638B" w:rsidRPr="00050C59" w:rsidRDefault="00336FC0" w:rsidP="00B933EF">
      <w:pPr>
        <w:pStyle w:val="Bodytext20"/>
        <w:tabs>
          <w:tab w:val="left" w:pos="432"/>
        </w:tabs>
        <w:spacing w:after="120"/>
        <w:ind w:left="0" w:firstLine="0"/>
        <w:rPr>
          <w:rFonts w:ascii="Arial" w:hAnsi="Arial" w:cs="Arial"/>
          <w:b w:val="0"/>
          <w:color w:val="010000"/>
          <w:sz w:val="20"/>
        </w:rPr>
      </w:pPr>
      <w:r w:rsidRPr="00050C59">
        <w:rPr>
          <w:rFonts w:ascii="Arial" w:hAnsi="Arial" w:cs="Arial"/>
          <w:b w:val="0"/>
          <w:color w:val="010000"/>
          <w:sz w:val="20"/>
        </w:rPr>
        <w:t>On January 23, 2024, Mechanical Engineering &amp; Metallurgy Joint Stock Company announced Resolution No. 001/2024/NQ-HDQT as follows:</w:t>
      </w:r>
    </w:p>
    <w:p w14:paraId="00019146" w14:textId="77777777" w:rsidR="005A638B" w:rsidRPr="00050C59" w:rsidRDefault="002A5D50" w:rsidP="00B933EF">
      <w:pPr>
        <w:pStyle w:val="BodyText"/>
        <w:tabs>
          <w:tab w:val="left" w:pos="432"/>
        </w:tabs>
        <w:spacing w:after="120" w:line="360" w:lineRule="auto"/>
        <w:rPr>
          <w:rFonts w:ascii="Arial" w:hAnsi="Arial" w:cs="Arial"/>
          <w:color w:val="010000"/>
          <w:sz w:val="20"/>
        </w:rPr>
      </w:pPr>
      <w:r w:rsidRPr="00050C59">
        <w:rPr>
          <w:rFonts w:ascii="Arial" w:hAnsi="Arial" w:cs="Arial"/>
          <w:color w:val="010000"/>
          <w:sz w:val="20"/>
        </w:rPr>
        <w:t>‎‎Article 1. Production and business results in Q4/2023 and 2023.</w:t>
      </w:r>
    </w:p>
    <w:p w14:paraId="572EDB35" w14:textId="21508062" w:rsidR="005A638B" w:rsidRPr="00050C59" w:rsidRDefault="002A5D50" w:rsidP="00B933EF">
      <w:pPr>
        <w:pStyle w:val="BodyText"/>
        <w:tabs>
          <w:tab w:val="left" w:pos="432"/>
          <w:tab w:val="left" w:pos="9414"/>
        </w:tabs>
        <w:spacing w:after="120" w:line="360" w:lineRule="auto"/>
        <w:rPr>
          <w:rFonts w:ascii="Arial" w:hAnsi="Arial" w:cs="Arial"/>
          <w:color w:val="010000"/>
          <w:sz w:val="20"/>
          <w:szCs w:val="46"/>
        </w:rPr>
      </w:pPr>
      <w:r w:rsidRPr="00050C59">
        <w:rPr>
          <w:rFonts w:ascii="Arial" w:hAnsi="Arial" w:cs="Arial"/>
          <w:color w:val="010000"/>
          <w:sz w:val="20"/>
        </w:rPr>
        <w:t>The Board of Directors agrees with the Report on work results in 2023 and tasks and orientation for 2024 No. 01-24/BC-SDK dated January 19, 2024 with the following main contents:</w:t>
      </w:r>
    </w:p>
    <w:p w14:paraId="3B9C639C" w14:textId="1F700970" w:rsidR="005A638B" w:rsidRPr="00050C59" w:rsidRDefault="00C717F2" w:rsidP="00B933EF">
      <w:pPr>
        <w:pStyle w:val="BodyText"/>
        <w:numPr>
          <w:ilvl w:val="0"/>
          <w:numId w:val="3"/>
        </w:numPr>
        <w:tabs>
          <w:tab w:val="left" w:pos="432"/>
          <w:tab w:val="left" w:pos="9414"/>
        </w:tabs>
        <w:spacing w:after="120" w:line="360" w:lineRule="auto"/>
        <w:ind w:left="0" w:firstLine="0"/>
        <w:rPr>
          <w:rFonts w:ascii="Arial" w:hAnsi="Arial" w:cs="Arial"/>
          <w:color w:val="010000"/>
          <w:sz w:val="20"/>
        </w:rPr>
      </w:pPr>
      <w:r w:rsidRPr="00050C59">
        <w:rPr>
          <w:rFonts w:ascii="Arial" w:hAnsi="Arial" w:cs="Arial"/>
          <w:color w:val="010000"/>
          <w:sz w:val="20"/>
        </w:rPr>
        <w:t>Production and business targets:</w:t>
      </w:r>
    </w:p>
    <w:tbl>
      <w:tblPr>
        <w:tblOverlap w:val="never"/>
        <w:tblW w:w="5000" w:type="pct"/>
        <w:tblCellMar>
          <w:left w:w="10" w:type="dxa"/>
          <w:right w:w="10" w:type="dxa"/>
        </w:tblCellMar>
        <w:tblLook w:val="04A0" w:firstRow="1" w:lastRow="0" w:firstColumn="1" w:lastColumn="0" w:noHBand="0" w:noVBand="1"/>
      </w:tblPr>
      <w:tblGrid>
        <w:gridCol w:w="508"/>
        <w:gridCol w:w="1477"/>
        <w:gridCol w:w="613"/>
        <w:gridCol w:w="743"/>
        <w:gridCol w:w="844"/>
        <w:gridCol w:w="952"/>
        <w:gridCol w:w="938"/>
        <w:gridCol w:w="974"/>
        <w:gridCol w:w="1014"/>
        <w:gridCol w:w="954"/>
      </w:tblGrid>
      <w:tr w:rsidR="00336FC0" w:rsidRPr="00050C59" w14:paraId="142D557F" w14:textId="77777777" w:rsidTr="00B933EF">
        <w:tc>
          <w:tcPr>
            <w:tcW w:w="282" w:type="pct"/>
            <w:tcBorders>
              <w:top w:val="single" w:sz="4" w:space="0" w:color="auto"/>
              <w:left w:val="single" w:sz="4" w:space="0" w:color="auto"/>
            </w:tcBorders>
            <w:shd w:val="clear" w:color="auto" w:fill="auto"/>
            <w:vAlign w:val="center"/>
          </w:tcPr>
          <w:p w14:paraId="79A639D3" w14:textId="77777777"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No.</w:t>
            </w:r>
          </w:p>
        </w:tc>
        <w:tc>
          <w:tcPr>
            <w:tcW w:w="819" w:type="pct"/>
            <w:tcBorders>
              <w:top w:val="single" w:sz="4" w:space="0" w:color="auto"/>
              <w:left w:val="single" w:sz="4" w:space="0" w:color="auto"/>
            </w:tcBorders>
            <w:shd w:val="clear" w:color="auto" w:fill="auto"/>
            <w:vAlign w:val="center"/>
          </w:tcPr>
          <w:p w14:paraId="790551E7" w14:textId="77777777"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Targets</w:t>
            </w:r>
          </w:p>
        </w:tc>
        <w:tc>
          <w:tcPr>
            <w:tcW w:w="340" w:type="pct"/>
            <w:tcBorders>
              <w:top w:val="single" w:sz="4" w:space="0" w:color="auto"/>
              <w:left w:val="single" w:sz="4" w:space="0" w:color="auto"/>
            </w:tcBorders>
            <w:shd w:val="clear" w:color="auto" w:fill="auto"/>
            <w:vAlign w:val="center"/>
          </w:tcPr>
          <w:p w14:paraId="5C240DAB" w14:textId="77777777"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Unit</w:t>
            </w:r>
          </w:p>
        </w:tc>
        <w:tc>
          <w:tcPr>
            <w:tcW w:w="412" w:type="pct"/>
            <w:tcBorders>
              <w:top w:val="single" w:sz="4" w:space="0" w:color="auto"/>
              <w:left w:val="single" w:sz="4" w:space="0" w:color="auto"/>
            </w:tcBorders>
            <w:shd w:val="clear" w:color="auto" w:fill="auto"/>
            <w:vAlign w:val="center"/>
          </w:tcPr>
          <w:p w14:paraId="56D51B5E" w14:textId="495AC1E8"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2023 Plan</w:t>
            </w:r>
          </w:p>
        </w:tc>
        <w:tc>
          <w:tcPr>
            <w:tcW w:w="468" w:type="pct"/>
            <w:tcBorders>
              <w:top w:val="single" w:sz="4" w:space="0" w:color="auto"/>
              <w:left w:val="single" w:sz="4" w:space="0" w:color="auto"/>
            </w:tcBorders>
            <w:shd w:val="clear" w:color="auto" w:fill="auto"/>
            <w:vAlign w:val="center"/>
          </w:tcPr>
          <w:p w14:paraId="352CBEE5" w14:textId="77969618"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Q4/2023 Plan</w:t>
            </w:r>
          </w:p>
        </w:tc>
        <w:tc>
          <w:tcPr>
            <w:tcW w:w="528" w:type="pct"/>
            <w:tcBorders>
              <w:top w:val="single" w:sz="4" w:space="0" w:color="auto"/>
              <w:left w:val="single" w:sz="4" w:space="0" w:color="auto"/>
            </w:tcBorders>
            <w:shd w:val="clear" w:color="auto" w:fill="auto"/>
            <w:vAlign w:val="center"/>
          </w:tcPr>
          <w:p w14:paraId="10A4166F" w14:textId="77777777"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Q4/2023 Results</w:t>
            </w:r>
          </w:p>
        </w:tc>
        <w:tc>
          <w:tcPr>
            <w:tcW w:w="520" w:type="pct"/>
            <w:tcBorders>
              <w:top w:val="single" w:sz="4" w:space="0" w:color="auto"/>
              <w:left w:val="single" w:sz="4" w:space="0" w:color="auto"/>
            </w:tcBorders>
            <w:shd w:val="clear" w:color="auto" w:fill="auto"/>
            <w:vAlign w:val="center"/>
          </w:tcPr>
          <w:p w14:paraId="70451CF8" w14:textId="299A9FE9"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2023 Results</w:t>
            </w:r>
          </w:p>
        </w:tc>
        <w:tc>
          <w:tcPr>
            <w:tcW w:w="540" w:type="pct"/>
            <w:tcBorders>
              <w:top w:val="single" w:sz="4" w:space="0" w:color="auto"/>
              <w:left w:val="single" w:sz="4" w:space="0" w:color="auto"/>
            </w:tcBorders>
            <w:shd w:val="clear" w:color="auto" w:fill="auto"/>
            <w:vAlign w:val="center"/>
          </w:tcPr>
          <w:p w14:paraId="7A0FFD3C" w14:textId="2BF58889"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2022 Results</w:t>
            </w:r>
          </w:p>
        </w:tc>
        <w:tc>
          <w:tcPr>
            <w:tcW w:w="562" w:type="pct"/>
            <w:tcBorders>
              <w:top w:val="single" w:sz="4" w:space="0" w:color="auto"/>
              <w:left w:val="single" w:sz="4" w:space="0" w:color="auto"/>
            </w:tcBorders>
            <w:shd w:val="clear" w:color="auto" w:fill="auto"/>
            <w:vAlign w:val="center"/>
          </w:tcPr>
          <w:p w14:paraId="5272E9EC" w14:textId="33714B5C"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 xml:space="preserve">Compared to that in </w:t>
            </w:r>
            <w:r w:rsidR="00050C59">
              <w:rPr>
                <w:rFonts w:ascii="Arial" w:hAnsi="Arial" w:cs="Arial"/>
                <w:color w:val="010000"/>
                <w:sz w:val="20"/>
              </w:rPr>
              <w:t xml:space="preserve">the </w:t>
            </w:r>
            <w:r w:rsidRPr="00050C59">
              <w:rPr>
                <w:rFonts w:ascii="Arial" w:hAnsi="Arial" w:cs="Arial"/>
                <w:color w:val="010000"/>
                <w:sz w:val="20"/>
              </w:rPr>
              <w:t>same period of 2022 (%)</w:t>
            </w:r>
          </w:p>
        </w:tc>
        <w:tc>
          <w:tcPr>
            <w:tcW w:w="529" w:type="pct"/>
            <w:tcBorders>
              <w:top w:val="single" w:sz="4" w:space="0" w:color="auto"/>
              <w:left w:val="single" w:sz="4" w:space="0" w:color="auto"/>
              <w:right w:val="single" w:sz="4" w:space="0" w:color="auto"/>
            </w:tcBorders>
            <w:shd w:val="clear" w:color="auto" w:fill="auto"/>
            <w:vAlign w:val="center"/>
          </w:tcPr>
          <w:p w14:paraId="7910CA49" w14:textId="6B3443EB" w:rsidR="005A638B" w:rsidRPr="00050C59" w:rsidRDefault="002A5D50" w:rsidP="00B933EF">
            <w:pPr>
              <w:pStyle w:val="Other0"/>
              <w:tabs>
                <w:tab w:val="left" w:pos="432"/>
              </w:tabs>
              <w:spacing w:after="120" w:line="360" w:lineRule="auto"/>
              <w:jc w:val="center"/>
              <w:rPr>
                <w:rFonts w:ascii="Arial" w:hAnsi="Arial" w:cs="Arial"/>
                <w:color w:val="010000"/>
                <w:sz w:val="20"/>
                <w:szCs w:val="22"/>
              </w:rPr>
            </w:pPr>
            <w:r w:rsidRPr="00050C59">
              <w:rPr>
                <w:rFonts w:ascii="Arial" w:hAnsi="Arial" w:cs="Arial"/>
                <w:color w:val="010000"/>
                <w:sz w:val="20"/>
              </w:rPr>
              <w:t>Compared to 2023 Plan (%)</w:t>
            </w:r>
          </w:p>
        </w:tc>
      </w:tr>
      <w:tr w:rsidR="00336FC0" w:rsidRPr="00050C59" w14:paraId="4661F261" w14:textId="77777777" w:rsidTr="00B933EF">
        <w:tc>
          <w:tcPr>
            <w:tcW w:w="1441" w:type="pct"/>
            <w:gridSpan w:val="3"/>
            <w:tcBorders>
              <w:top w:val="single" w:sz="4" w:space="0" w:color="auto"/>
              <w:left w:val="single" w:sz="4" w:space="0" w:color="auto"/>
            </w:tcBorders>
            <w:shd w:val="clear" w:color="auto" w:fill="auto"/>
            <w:vAlign w:val="center"/>
          </w:tcPr>
          <w:p w14:paraId="2A35B018"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I. Output</w:t>
            </w:r>
          </w:p>
        </w:tc>
        <w:tc>
          <w:tcPr>
            <w:tcW w:w="412" w:type="pct"/>
            <w:tcBorders>
              <w:top w:val="single" w:sz="4" w:space="0" w:color="auto"/>
              <w:left w:val="single" w:sz="4" w:space="0" w:color="auto"/>
            </w:tcBorders>
            <w:shd w:val="clear" w:color="auto" w:fill="auto"/>
            <w:vAlign w:val="center"/>
          </w:tcPr>
          <w:p w14:paraId="68B16315"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6,100</w:t>
            </w:r>
          </w:p>
        </w:tc>
        <w:tc>
          <w:tcPr>
            <w:tcW w:w="468" w:type="pct"/>
            <w:tcBorders>
              <w:top w:val="single" w:sz="4" w:space="0" w:color="auto"/>
              <w:left w:val="single" w:sz="4" w:space="0" w:color="auto"/>
            </w:tcBorders>
            <w:shd w:val="clear" w:color="auto" w:fill="auto"/>
            <w:vAlign w:val="center"/>
          </w:tcPr>
          <w:p w14:paraId="7832F8B6"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1,130</w:t>
            </w:r>
          </w:p>
        </w:tc>
        <w:tc>
          <w:tcPr>
            <w:tcW w:w="528" w:type="pct"/>
            <w:tcBorders>
              <w:top w:val="single" w:sz="4" w:space="0" w:color="auto"/>
              <w:left w:val="single" w:sz="4" w:space="0" w:color="auto"/>
            </w:tcBorders>
            <w:shd w:val="clear" w:color="auto" w:fill="auto"/>
            <w:vAlign w:val="center"/>
          </w:tcPr>
          <w:p w14:paraId="567C6763"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987.15</w:t>
            </w:r>
          </w:p>
        </w:tc>
        <w:tc>
          <w:tcPr>
            <w:tcW w:w="520" w:type="pct"/>
            <w:tcBorders>
              <w:top w:val="single" w:sz="4" w:space="0" w:color="auto"/>
              <w:left w:val="single" w:sz="4" w:space="0" w:color="auto"/>
            </w:tcBorders>
            <w:shd w:val="clear" w:color="auto" w:fill="auto"/>
            <w:vAlign w:val="center"/>
          </w:tcPr>
          <w:p w14:paraId="7D9711CF"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5,341.3</w:t>
            </w:r>
          </w:p>
        </w:tc>
        <w:tc>
          <w:tcPr>
            <w:tcW w:w="540" w:type="pct"/>
            <w:tcBorders>
              <w:top w:val="single" w:sz="4" w:space="0" w:color="auto"/>
              <w:left w:val="single" w:sz="4" w:space="0" w:color="auto"/>
            </w:tcBorders>
            <w:shd w:val="clear" w:color="auto" w:fill="auto"/>
            <w:vAlign w:val="center"/>
          </w:tcPr>
          <w:p w14:paraId="27933207"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7,053.3</w:t>
            </w:r>
          </w:p>
        </w:tc>
        <w:tc>
          <w:tcPr>
            <w:tcW w:w="562" w:type="pct"/>
            <w:tcBorders>
              <w:top w:val="single" w:sz="4" w:space="0" w:color="auto"/>
              <w:left w:val="single" w:sz="4" w:space="0" w:color="auto"/>
            </w:tcBorders>
            <w:shd w:val="clear" w:color="auto" w:fill="auto"/>
            <w:vAlign w:val="center"/>
          </w:tcPr>
          <w:p w14:paraId="54F30BE3"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75.73</w:t>
            </w:r>
          </w:p>
        </w:tc>
        <w:tc>
          <w:tcPr>
            <w:tcW w:w="529" w:type="pct"/>
            <w:tcBorders>
              <w:top w:val="single" w:sz="4" w:space="0" w:color="auto"/>
              <w:left w:val="single" w:sz="4" w:space="0" w:color="auto"/>
              <w:right w:val="single" w:sz="4" w:space="0" w:color="auto"/>
            </w:tcBorders>
            <w:shd w:val="clear" w:color="auto" w:fill="auto"/>
            <w:vAlign w:val="center"/>
          </w:tcPr>
          <w:p w14:paraId="0B1BD909"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87.56</w:t>
            </w:r>
          </w:p>
        </w:tc>
      </w:tr>
      <w:tr w:rsidR="005A638B" w:rsidRPr="00050C59" w14:paraId="25E9A291" w14:textId="77777777" w:rsidTr="00B933EF">
        <w:tc>
          <w:tcPr>
            <w:tcW w:w="5000" w:type="pct"/>
            <w:gridSpan w:val="10"/>
            <w:tcBorders>
              <w:top w:val="single" w:sz="4" w:space="0" w:color="auto"/>
              <w:left w:val="single" w:sz="4" w:space="0" w:color="auto"/>
              <w:right w:val="single" w:sz="4" w:space="0" w:color="auto"/>
            </w:tcBorders>
            <w:shd w:val="clear" w:color="auto" w:fill="auto"/>
            <w:vAlign w:val="center"/>
          </w:tcPr>
          <w:p w14:paraId="369C5159"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1 Steel and cast iron</w:t>
            </w:r>
          </w:p>
        </w:tc>
      </w:tr>
      <w:tr w:rsidR="00336FC0" w:rsidRPr="00050C59" w14:paraId="25FEED8E" w14:textId="77777777" w:rsidTr="00B933EF">
        <w:tc>
          <w:tcPr>
            <w:tcW w:w="282" w:type="pct"/>
            <w:tcBorders>
              <w:top w:val="single" w:sz="4" w:space="0" w:color="auto"/>
              <w:left w:val="single" w:sz="4" w:space="0" w:color="auto"/>
            </w:tcBorders>
            <w:shd w:val="clear" w:color="auto" w:fill="auto"/>
            <w:vAlign w:val="center"/>
          </w:tcPr>
          <w:p w14:paraId="0F0E6959"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1.1</w:t>
            </w:r>
          </w:p>
        </w:tc>
        <w:tc>
          <w:tcPr>
            <w:tcW w:w="819" w:type="pct"/>
            <w:tcBorders>
              <w:top w:val="single" w:sz="4" w:space="0" w:color="auto"/>
              <w:left w:val="single" w:sz="4" w:space="0" w:color="auto"/>
            </w:tcBorders>
            <w:shd w:val="clear" w:color="auto" w:fill="auto"/>
            <w:vAlign w:val="center"/>
          </w:tcPr>
          <w:p w14:paraId="36EC388D"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Production</w:t>
            </w:r>
          </w:p>
        </w:tc>
        <w:tc>
          <w:tcPr>
            <w:tcW w:w="340" w:type="pct"/>
            <w:tcBorders>
              <w:top w:val="single" w:sz="4" w:space="0" w:color="auto"/>
              <w:left w:val="single" w:sz="4" w:space="0" w:color="auto"/>
            </w:tcBorders>
            <w:shd w:val="clear" w:color="auto" w:fill="auto"/>
            <w:vAlign w:val="center"/>
          </w:tcPr>
          <w:p w14:paraId="1F423C1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Tons</w:t>
            </w:r>
          </w:p>
        </w:tc>
        <w:tc>
          <w:tcPr>
            <w:tcW w:w="412" w:type="pct"/>
            <w:tcBorders>
              <w:top w:val="single" w:sz="4" w:space="0" w:color="auto"/>
              <w:left w:val="single" w:sz="4" w:space="0" w:color="auto"/>
            </w:tcBorders>
            <w:shd w:val="clear" w:color="auto" w:fill="auto"/>
            <w:vAlign w:val="center"/>
          </w:tcPr>
          <w:p w14:paraId="4B06E63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4,200</w:t>
            </w:r>
          </w:p>
        </w:tc>
        <w:tc>
          <w:tcPr>
            <w:tcW w:w="468" w:type="pct"/>
            <w:tcBorders>
              <w:top w:val="single" w:sz="4" w:space="0" w:color="auto"/>
              <w:left w:val="single" w:sz="4" w:space="0" w:color="auto"/>
            </w:tcBorders>
            <w:shd w:val="clear" w:color="auto" w:fill="auto"/>
            <w:vAlign w:val="center"/>
          </w:tcPr>
          <w:p w14:paraId="62B9980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700</w:t>
            </w:r>
          </w:p>
        </w:tc>
        <w:tc>
          <w:tcPr>
            <w:tcW w:w="528" w:type="pct"/>
            <w:tcBorders>
              <w:top w:val="single" w:sz="4" w:space="0" w:color="auto"/>
              <w:left w:val="single" w:sz="4" w:space="0" w:color="auto"/>
            </w:tcBorders>
            <w:shd w:val="clear" w:color="auto" w:fill="auto"/>
            <w:vAlign w:val="center"/>
          </w:tcPr>
          <w:p w14:paraId="05092CA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590.73</w:t>
            </w:r>
          </w:p>
        </w:tc>
        <w:tc>
          <w:tcPr>
            <w:tcW w:w="520" w:type="pct"/>
            <w:tcBorders>
              <w:top w:val="single" w:sz="4" w:space="0" w:color="auto"/>
              <w:left w:val="single" w:sz="4" w:space="0" w:color="auto"/>
            </w:tcBorders>
            <w:shd w:val="clear" w:color="auto" w:fill="auto"/>
            <w:vAlign w:val="center"/>
          </w:tcPr>
          <w:p w14:paraId="4C03487A"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3,691.6</w:t>
            </w:r>
          </w:p>
        </w:tc>
        <w:tc>
          <w:tcPr>
            <w:tcW w:w="540" w:type="pct"/>
            <w:tcBorders>
              <w:top w:val="single" w:sz="4" w:space="0" w:color="auto"/>
              <w:left w:val="single" w:sz="4" w:space="0" w:color="auto"/>
            </w:tcBorders>
            <w:shd w:val="clear" w:color="auto" w:fill="auto"/>
            <w:vAlign w:val="center"/>
          </w:tcPr>
          <w:p w14:paraId="35005E8A"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4,397.9</w:t>
            </w:r>
          </w:p>
        </w:tc>
        <w:tc>
          <w:tcPr>
            <w:tcW w:w="562" w:type="pct"/>
            <w:tcBorders>
              <w:top w:val="single" w:sz="4" w:space="0" w:color="auto"/>
              <w:left w:val="single" w:sz="4" w:space="0" w:color="auto"/>
            </w:tcBorders>
            <w:shd w:val="clear" w:color="auto" w:fill="auto"/>
            <w:vAlign w:val="center"/>
          </w:tcPr>
          <w:p w14:paraId="6A37B56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83.94</w:t>
            </w:r>
          </w:p>
        </w:tc>
        <w:tc>
          <w:tcPr>
            <w:tcW w:w="529" w:type="pct"/>
            <w:tcBorders>
              <w:top w:val="single" w:sz="4" w:space="0" w:color="auto"/>
              <w:left w:val="single" w:sz="4" w:space="0" w:color="auto"/>
              <w:right w:val="single" w:sz="4" w:space="0" w:color="auto"/>
            </w:tcBorders>
            <w:shd w:val="clear" w:color="auto" w:fill="auto"/>
            <w:vAlign w:val="center"/>
          </w:tcPr>
          <w:p w14:paraId="76368E5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87.90</w:t>
            </w:r>
          </w:p>
        </w:tc>
      </w:tr>
      <w:tr w:rsidR="00336FC0" w:rsidRPr="00050C59" w14:paraId="1534EB7D" w14:textId="77777777" w:rsidTr="00B933EF">
        <w:tc>
          <w:tcPr>
            <w:tcW w:w="282" w:type="pct"/>
            <w:tcBorders>
              <w:top w:val="single" w:sz="4" w:space="0" w:color="auto"/>
              <w:left w:val="single" w:sz="4" w:space="0" w:color="auto"/>
            </w:tcBorders>
            <w:shd w:val="clear" w:color="auto" w:fill="auto"/>
            <w:vAlign w:val="center"/>
          </w:tcPr>
          <w:p w14:paraId="3FEC2D8A"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1.2</w:t>
            </w:r>
          </w:p>
        </w:tc>
        <w:tc>
          <w:tcPr>
            <w:tcW w:w="819" w:type="pct"/>
            <w:tcBorders>
              <w:top w:val="single" w:sz="4" w:space="0" w:color="auto"/>
              <w:left w:val="single" w:sz="4" w:space="0" w:color="auto"/>
            </w:tcBorders>
            <w:shd w:val="clear" w:color="auto" w:fill="auto"/>
            <w:vAlign w:val="center"/>
          </w:tcPr>
          <w:p w14:paraId="629BCF8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Consumption</w:t>
            </w:r>
          </w:p>
        </w:tc>
        <w:tc>
          <w:tcPr>
            <w:tcW w:w="340" w:type="pct"/>
            <w:tcBorders>
              <w:top w:val="single" w:sz="4" w:space="0" w:color="auto"/>
              <w:left w:val="single" w:sz="4" w:space="0" w:color="auto"/>
            </w:tcBorders>
            <w:shd w:val="clear" w:color="auto" w:fill="auto"/>
            <w:vAlign w:val="center"/>
          </w:tcPr>
          <w:p w14:paraId="0E74C044"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Tons</w:t>
            </w:r>
          </w:p>
        </w:tc>
        <w:tc>
          <w:tcPr>
            <w:tcW w:w="412" w:type="pct"/>
            <w:tcBorders>
              <w:top w:val="single" w:sz="4" w:space="0" w:color="auto"/>
              <w:left w:val="single" w:sz="4" w:space="0" w:color="auto"/>
            </w:tcBorders>
            <w:shd w:val="clear" w:color="auto" w:fill="auto"/>
            <w:vAlign w:val="center"/>
          </w:tcPr>
          <w:p w14:paraId="3000A4DB" w14:textId="7E80EF82"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w:t>
            </w:r>
            <w:r w:rsidR="00050C59" w:rsidRPr="00050C59">
              <w:rPr>
                <w:rFonts w:ascii="Arial" w:hAnsi="Arial" w:cs="Arial"/>
                <w:color w:val="010000"/>
                <w:sz w:val="20"/>
              </w:rPr>
              <w:t>,</w:t>
            </w:r>
            <w:r w:rsidRPr="00050C59">
              <w:rPr>
                <w:rFonts w:ascii="Arial" w:hAnsi="Arial" w:cs="Arial"/>
                <w:color w:val="010000"/>
                <w:sz w:val="20"/>
              </w:rPr>
              <w:t>200</w:t>
            </w:r>
          </w:p>
        </w:tc>
        <w:tc>
          <w:tcPr>
            <w:tcW w:w="468" w:type="pct"/>
            <w:tcBorders>
              <w:top w:val="single" w:sz="4" w:space="0" w:color="auto"/>
              <w:left w:val="single" w:sz="4" w:space="0" w:color="auto"/>
            </w:tcBorders>
            <w:shd w:val="clear" w:color="auto" w:fill="auto"/>
            <w:vAlign w:val="center"/>
          </w:tcPr>
          <w:p w14:paraId="23C12939" w14:textId="77777777" w:rsidR="005A638B" w:rsidRPr="00050C59" w:rsidRDefault="005A638B" w:rsidP="00B933EF">
            <w:pPr>
              <w:tabs>
                <w:tab w:val="left" w:pos="432"/>
              </w:tabs>
              <w:spacing w:after="120" w:line="360" w:lineRule="auto"/>
              <w:rPr>
                <w:rFonts w:ascii="Arial" w:hAnsi="Arial" w:cs="Arial"/>
                <w:color w:val="010000"/>
                <w:sz w:val="20"/>
                <w:szCs w:val="10"/>
              </w:rPr>
            </w:pPr>
          </w:p>
        </w:tc>
        <w:tc>
          <w:tcPr>
            <w:tcW w:w="528" w:type="pct"/>
            <w:tcBorders>
              <w:top w:val="single" w:sz="4" w:space="0" w:color="auto"/>
              <w:left w:val="single" w:sz="4" w:space="0" w:color="auto"/>
            </w:tcBorders>
            <w:shd w:val="clear" w:color="auto" w:fill="auto"/>
            <w:vAlign w:val="center"/>
          </w:tcPr>
          <w:p w14:paraId="44572402"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412.07</w:t>
            </w:r>
          </w:p>
        </w:tc>
        <w:tc>
          <w:tcPr>
            <w:tcW w:w="520" w:type="pct"/>
            <w:tcBorders>
              <w:top w:val="single" w:sz="4" w:space="0" w:color="auto"/>
              <w:left w:val="single" w:sz="4" w:space="0" w:color="auto"/>
            </w:tcBorders>
            <w:shd w:val="clear" w:color="auto" w:fill="auto"/>
            <w:vAlign w:val="center"/>
          </w:tcPr>
          <w:p w14:paraId="5E0D3252"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2,312.4</w:t>
            </w:r>
          </w:p>
        </w:tc>
        <w:tc>
          <w:tcPr>
            <w:tcW w:w="540" w:type="pct"/>
            <w:tcBorders>
              <w:top w:val="single" w:sz="4" w:space="0" w:color="auto"/>
              <w:left w:val="single" w:sz="4" w:space="0" w:color="auto"/>
            </w:tcBorders>
            <w:shd w:val="clear" w:color="auto" w:fill="auto"/>
            <w:vAlign w:val="center"/>
          </w:tcPr>
          <w:p w14:paraId="3B506C9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3,450.6</w:t>
            </w:r>
          </w:p>
        </w:tc>
        <w:tc>
          <w:tcPr>
            <w:tcW w:w="562" w:type="pct"/>
            <w:tcBorders>
              <w:top w:val="single" w:sz="4" w:space="0" w:color="auto"/>
              <w:left w:val="single" w:sz="4" w:space="0" w:color="auto"/>
            </w:tcBorders>
            <w:shd w:val="clear" w:color="auto" w:fill="auto"/>
            <w:vAlign w:val="center"/>
          </w:tcPr>
          <w:p w14:paraId="176215C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67.01</w:t>
            </w:r>
          </w:p>
        </w:tc>
        <w:tc>
          <w:tcPr>
            <w:tcW w:w="529" w:type="pct"/>
            <w:tcBorders>
              <w:top w:val="single" w:sz="4" w:space="0" w:color="auto"/>
              <w:left w:val="single" w:sz="4" w:space="0" w:color="auto"/>
              <w:right w:val="single" w:sz="4" w:space="0" w:color="auto"/>
            </w:tcBorders>
            <w:shd w:val="clear" w:color="auto" w:fill="auto"/>
            <w:vAlign w:val="center"/>
          </w:tcPr>
          <w:p w14:paraId="28E93221"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55.06</w:t>
            </w:r>
          </w:p>
        </w:tc>
      </w:tr>
      <w:tr w:rsidR="005A638B" w:rsidRPr="00050C59" w14:paraId="311DFF6B" w14:textId="77777777" w:rsidTr="00B933EF">
        <w:tc>
          <w:tcPr>
            <w:tcW w:w="5000" w:type="pct"/>
            <w:gridSpan w:val="10"/>
            <w:tcBorders>
              <w:top w:val="single" w:sz="4" w:space="0" w:color="auto"/>
              <w:left w:val="single" w:sz="4" w:space="0" w:color="auto"/>
              <w:right w:val="single" w:sz="4" w:space="0" w:color="auto"/>
            </w:tcBorders>
            <w:shd w:val="clear" w:color="auto" w:fill="auto"/>
            <w:vAlign w:val="center"/>
          </w:tcPr>
          <w:p w14:paraId="2A3AE989"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2. Mechanical fabrication - forging</w:t>
            </w:r>
          </w:p>
        </w:tc>
      </w:tr>
      <w:tr w:rsidR="00336FC0" w:rsidRPr="00050C59" w14:paraId="60471D70" w14:textId="77777777" w:rsidTr="00B933EF">
        <w:tc>
          <w:tcPr>
            <w:tcW w:w="282" w:type="pct"/>
            <w:tcBorders>
              <w:top w:val="single" w:sz="4" w:space="0" w:color="auto"/>
              <w:left w:val="single" w:sz="4" w:space="0" w:color="auto"/>
            </w:tcBorders>
            <w:shd w:val="clear" w:color="auto" w:fill="auto"/>
            <w:vAlign w:val="center"/>
          </w:tcPr>
          <w:p w14:paraId="66DC6CC2"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2.1</w:t>
            </w:r>
          </w:p>
        </w:tc>
        <w:tc>
          <w:tcPr>
            <w:tcW w:w="819" w:type="pct"/>
            <w:tcBorders>
              <w:top w:val="single" w:sz="4" w:space="0" w:color="auto"/>
              <w:left w:val="single" w:sz="4" w:space="0" w:color="auto"/>
            </w:tcBorders>
            <w:shd w:val="clear" w:color="auto" w:fill="auto"/>
            <w:vAlign w:val="center"/>
          </w:tcPr>
          <w:p w14:paraId="314533D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Production</w:t>
            </w:r>
          </w:p>
        </w:tc>
        <w:tc>
          <w:tcPr>
            <w:tcW w:w="340" w:type="pct"/>
            <w:tcBorders>
              <w:top w:val="single" w:sz="4" w:space="0" w:color="auto"/>
              <w:left w:val="single" w:sz="4" w:space="0" w:color="auto"/>
            </w:tcBorders>
            <w:shd w:val="clear" w:color="auto" w:fill="auto"/>
            <w:vAlign w:val="center"/>
          </w:tcPr>
          <w:p w14:paraId="46E3292E"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Tons</w:t>
            </w:r>
          </w:p>
        </w:tc>
        <w:tc>
          <w:tcPr>
            <w:tcW w:w="412" w:type="pct"/>
            <w:tcBorders>
              <w:top w:val="single" w:sz="4" w:space="0" w:color="auto"/>
              <w:left w:val="single" w:sz="4" w:space="0" w:color="auto"/>
            </w:tcBorders>
            <w:shd w:val="clear" w:color="auto" w:fill="auto"/>
            <w:vAlign w:val="center"/>
          </w:tcPr>
          <w:p w14:paraId="13AFB4A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1,500</w:t>
            </w:r>
          </w:p>
        </w:tc>
        <w:tc>
          <w:tcPr>
            <w:tcW w:w="468" w:type="pct"/>
            <w:tcBorders>
              <w:top w:val="single" w:sz="4" w:space="0" w:color="auto"/>
              <w:left w:val="single" w:sz="4" w:space="0" w:color="auto"/>
            </w:tcBorders>
            <w:shd w:val="clear" w:color="auto" w:fill="auto"/>
            <w:vAlign w:val="center"/>
          </w:tcPr>
          <w:p w14:paraId="56B18C68"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400</w:t>
            </w:r>
          </w:p>
        </w:tc>
        <w:tc>
          <w:tcPr>
            <w:tcW w:w="528" w:type="pct"/>
            <w:tcBorders>
              <w:top w:val="single" w:sz="4" w:space="0" w:color="auto"/>
              <w:left w:val="single" w:sz="4" w:space="0" w:color="auto"/>
            </w:tcBorders>
            <w:shd w:val="clear" w:color="auto" w:fill="auto"/>
            <w:vAlign w:val="center"/>
          </w:tcPr>
          <w:p w14:paraId="74645EA6"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332.92</w:t>
            </w:r>
          </w:p>
        </w:tc>
        <w:tc>
          <w:tcPr>
            <w:tcW w:w="520" w:type="pct"/>
            <w:tcBorders>
              <w:top w:val="single" w:sz="4" w:space="0" w:color="auto"/>
              <w:left w:val="single" w:sz="4" w:space="0" w:color="auto"/>
            </w:tcBorders>
            <w:shd w:val="clear" w:color="auto" w:fill="auto"/>
            <w:vAlign w:val="center"/>
          </w:tcPr>
          <w:p w14:paraId="49900396"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1,384.7</w:t>
            </w:r>
          </w:p>
        </w:tc>
        <w:tc>
          <w:tcPr>
            <w:tcW w:w="540" w:type="pct"/>
            <w:tcBorders>
              <w:top w:val="single" w:sz="4" w:space="0" w:color="auto"/>
              <w:left w:val="single" w:sz="4" w:space="0" w:color="auto"/>
            </w:tcBorders>
            <w:shd w:val="clear" w:color="auto" w:fill="auto"/>
            <w:vAlign w:val="center"/>
          </w:tcPr>
          <w:p w14:paraId="34E65FF1"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1,589.5</w:t>
            </w:r>
          </w:p>
        </w:tc>
        <w:tc>
          <w:tcPr>
            <w:tcW w:w="562" w:type="pct"/>
            <w:tcBorders>
              <w:top w:val="single" w:sz="4" w:space="0" w:color="auto"/>
              <w:left w:val="single" w:sz="4" w:space="0" w:color="auto"/>
            </w:tcBorders>
            <w:shd w:val="clear" w:color="auto" w:fill="auto"/>
            <w:vAlign w:val="center"/>
          </w:tcPr>
          <w:p w14:paraId="04FB8136"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87.11</w:t>
            </w:r>
          </w:p>
        </w:tc>
        <w:tc>
          <w:tcPr>
            <w:tcW w:w="529" w:type="pct"/>
            <w:tcBorders>
              <w:top w:val="single" w:sz="4" w:space="0" w:color="auto"/>
              <w:left w:val="single" w:sz="4" w:space="0" w:color="auto"/>
              <w:right w:val="single" w:sz="4" w:space="0" w:color="auto"/>
            </w:tcBorders>
            <w:shd w:val="clear" w:color="auto" w:fill="auto"/>
            <w:vAlign w:val="center"/>
          </w:tcPr>
          <w:p w14:paraId="3F98B43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92.31</w:t>
            </w:r>
          </w:p>
        </w:tc>
      </w:tr>
      <w:tr w:rsidR="00336FC0" w:rsidRPr="00050C59" w14:paraId="592C4839" w14:textId="77777777" w:rsidTr="00B933EF">
        <w:tc>
          <w:tcPr>
            <w:tcW w:w="282" w:type="pct"/>
            <w:tcBorders>
              <w:top w:val="single" w:sz="4" w:space="0" w:color="auto"/>
              <w:left w:val="single" w:sz="4" w:space="0" w:color="auto"/>
            </w:tcBorders>
            <w:shd w:val="clear" w:color="auto" w:fill="auto"/>
            <w:vAlign w:val="center"/>
          </w:tcPr>
          <w:p w14:paraId="23414202"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2.2</w:t>
            </w:r>
          </w:p>
        </w:tc>
        <w:tc>
          <w:tcPr>
            <w:tcW w:w="819" w:type="pct"/>
            <w:tcBorders>
              <w:top w:val="single" w:sz="4" w:space="0" w:color="auto"/>
              <w:left w:val="single" w:sz="4" w:space="0" w:color="auto"/>
            </w:tcBorders>
            <w:shd w:val="clear" w:color="auto" w:fill="auto"/>
            <w:vAlign w:val="center"/>
          </w:tcPr>
          <w:p w14:paraId="198E04E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Consumption</w:t>
            </w:r>
          </w:p>
        </w:tc>
        <w:tc>
          <w:tcPr>
            <w:tcW w:w="340" w:type="pct"/>
            <w:tcBorders>
              <w:top w:val="single" w:sz="4" w:space="0" w:color="auto"/>
              <w:left w:val="single" w:sz="4" w:space="0" w:color="auto"/>
            </w:tcBorders>
            <w:shd w:val="clear" w:color="auto" w:fill="auto"/>
            <w:vAlign w:val="center"/>
          </w:tcPr>
          <w:p w14:paraId="785F7C11"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Tons</w:t>
            </w:r>
          </w:p>
        </w:tc>
        <w:tc>
          <w:tcPr>
            <w:tcW w:w="412" w:type="pct"/>
            <w:tcBorders>
              <w:top w:val="single" w:sz="4" w:space="0" w:color="auto"/>
              <w:left w:val="single" w:sz="4" w:space="0" w:color="auto"/>
            </w:tcBorders>
            <w:shd w:val="clear" w:color="auto" w:fill="auto"/>
            <w:vAlign w:val="center"/>
          </w:tcPr>
          <w:p w14:paraId="02278A12" w14:textId="3A4BE1B2"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w:t>
            </w:r>
            <w:r w:rsidR="00050C59" w:rsidRPr="00050C59">
              <w:rPr>
                <w:rFonts w:ascii="Arial" w:hAnsi="Arial" w:cs="Arial"/>
                <w:color w:val="010000"/>
                <w:sz w:val="20"/>
              </w:rPr>
              <w:t>,</w:t>
            </w:r>
            <w:r w:rsidRPr="00050C59">
              <w:rPr>
                <w:rFonts w:ascii="Arial" w:hAnsi="Arial" w:cs="Arial"/>
                <w:color w:val="010000"/>
                <w:sz w:val="20"/>
              </w:rPr>
              <w:t>500</w:t>
            </w:r>
          </w:p>
        </w:tc>
        <w:tc>
          <w:tcPr>
            <w:tcW w:w="468" w:type="pct"/>
            <w:tcBorders>
              <w:top w:val="single" w:sz="4" w:space="0" w:color="auto"/>
              <w:left w:val="single" w:sz="4" w:space="0" w:color="auto"/>
            </w:tcBorders>
            <w:shd w:val="clear" w:color="auto" w:fill="auto"/>
            <w:vAlign w:val="center"/>
          </w:tcPr>
          <w:p w14:paraId="41E88B9D" w14:textId="77777777" w:rsidR="005A638B" w:rsidRPr="00050C59" w:rsidRDefault="005A638B" w:rsidP="00B933EF">
            <w:pPr>
              <w:tabs>
                <w:tab w:val="left" w:pos="432"/>
              </w:tabs>
              <w:spacing w:after="120" w:line="360" w:lineRule="auto"/>
              <w:rPr>
                <w:rFonts w:ascii="Arial" w:hAnsi="Arial" w:cs="Arial"/>
                <w:color w:val="010000"/>
                <w:sz w:val="20"/>
                <w:szCs w:val="10"/>
              </w:rPr>
            </w:pPr>
          </w:p>
        </w:tc>
        <w:tc>
          <w:tcPr>
            <w:tcW w:w="528" w:type="pct"/>
            <w:tcBorders>
              <w:top w:val="single" w:sz="4" w:space="0" w:color="auto"/>
              <w:left w:val="single" w:sz="4" w:space="0" w:color="auto"/>
            </w:tcBorders>
            <w:shd w:val="clear" w:color="auto" w:fill="auto"/>
            <w:vAlign w:val="center"/>
          </w:tcPr>
          <w:p w14:paraId="1140CCEC"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288.24</w:t>
            </w:r>
          </w:p>
        </w:tc>
        <w:tc>
          <w:tcPr>
            <w:tcW w:w="520" w:type="pct"/>
            <w:tcBorders>
              <w:top w:val="single" w:sz="4" w:space="0" w:color="auto"/>
              <w:left w:val="single" w:sz="4" w:space="0" w:color="auto"/>
            </w:tcBorders>
            <w:shd w:val="clear" w:color="auto" w:fill="auto"/>
            <w:vAlign w:val="center"/>
          </w:tcPr>
          <w:p w14:paraId="7E023DC4"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1,236.2</w:t>
            </w:r>
          </w:p>
        </w:tc>
        <w:tc>
          <w:tcPr>
            <w:tcW w:w="540" w:type="pct"/>
            <w:tcBorders>
              <w:top w:val="single" w:sz="4" w:space="0" w:color="auto"/>
              <w:left w:val="single" w:sz="4" w:space="0" w:color="auto"/>
            </w:tcBorders>
            <w:shd w:val="clear" w:color="auto" w:fill="auto"/>
            <w:vAlign w:val="center"/>
          </w:tcPr>
          <w:p w14:paraId="370885B5"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1,368.4</w:t>
            </w:r>
          </w:p>
        </w:tc>
        <w:tc>
          <w:tcPr>
            <w:tcW w:w="562" w:type="pct"/>
            <w:tcBorders>
              <w:top w:val="single" w:sz="4" w:space="0" w:color="auto"/>
              <w:left w:val="single" w:sz="4" w:space="0" w:color="auto"/>
            </w:tcBorders>
            <w:shd w:val="clear" w:color="auto" w:fill="auto"/>
            <w:vAlign w:val="center"/>
          </w:tcPr>
          <w:p w14:paraId="5CFE542F"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90.34</w:t>
            </w:r>
          </w:p>
        </w:tc>
        <w:tc>
          <w:tcPr>
            <w:tcW w:w="529" w:type="pct"/>
            <w:tcBorders>
              <w:top w:val="single" w:sz="4" w:space="0" w:color="auto"/>
              <w:left w:val="single" w:sz="4" w:space="0" w:color="auto"/>
              <w:right w:val="single" w:sz="4" w:space="0" w:color="auto"/>
            </w:tcBorders>
            <w:shd w:val="clear" w:color="auto" w:fill="auto"/>
            <w:vAlign w:val="center"/>
          </w:tcPr>
          <w:p w14:paraId="23F06A57"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82.41</w:t>
            </w:r>
          </w:p>
        </w:tc>
      </w:tr>
      <w:tr w:rsidR="005A638B" w:rsidRPr="00050C59" w14:paraId="0B5E0C07" w14:textId="77777777" w:rsidTr="00B933EF">
        <w:tc>
          <w:tcPr>
            <w:tcW w:w="5000" w:type="pct"/>
            <w:gridSpan w:val="10"/>
            <w:tcBorders>
              <w:top w:val="single" w:sz="4" w:space="0" w:color="auto"/>
              <w:left w:val="single" w:sz="4" w:space="0" w:color="auto"/>
              <w:right w:val="single" w:sz="4" w:space="0" w:color="auto"/>
            </w:tcBorders>
            <w:shd w:val="clear" w:color="auto" w:fill="auto"/>
            <w:vAlign w:val="center"/>
          </w:tcPr>
          <w:p w14:paraId="12DB8A87" w14:textId="77777777" w:rsidR="005A638B" w:rsidRPr="00050C59" w:rsidRDefault="002A5D50" w:rsidP="00B933EF">
            <w:pPr>
              <w:pStyle w:val="Other0"/>
              <w:tabs>
                <w:tab w:val="left" w:pos="432"/>
              </w:tabs>
              <w:spacing w:after="120" w:line="360" w:lineRule="auto"/>
              <w:rPr>
                <w:rFonts w:ascii="Arial" w:hAnsi="Arial" w:cs="Arial"/>
                <w:color w:val="010000"/>
                <w:sz w:val="20"/>
                <w:szCs w:val="22"/>
              </w:rPr>
            </w:pPr>
            <w:r w:rsidRPr="00050C59">
              <w:rPr>
                <w:rFonts w:ascii="Arial" w:hAnsi="Arial" w:cs="Arial"/>
                <w:color w:val="010000"/>
                <w:sz w:val="20"/>
              </w:rPr>
              <w:t>3 Structural fabrication</w:t>
            </w:r>
          </w:p>
        </w:tc>
      </w:tr>
      <w:tr w:rsidR="00336FC0" w:rsidRPr="00050C59" w14:paraId="0F9023AB" w14:textId="77777777" w:rsidTr="00B933EF">
        <w:tc>
          <w:tcPr>
            <w:tcW w:w="282" w:type="pct"/>
            <w:tcBorders>
              <w:top w:val="single" w:sz="4" w:space="0" w:color="auto"/>
              <w:left w:val="single" w:sz="4" w:space="0" w:color="auto"/>
            </w:tcBorders>
            <w:shd w:val="clear" w:color="auto" w:fill="auto"/>
            <w:vAlign w:val="center"/>
          </w:tcPr>
          <w:p w14:paraId="320017C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3.1</w:t>
            </w:r>
          </w:p>
        </w:tc>
        <w:tc>
          <w:tcPr>
            <w:tcW w:w="819" w:type="pct"/>
            <w:tcBorders>
              <w:top w:val="single" w:sz="4" w:space="0" w:color="auto"/>
              <w:left w:val="single" w:sz="4" w:space="0" w:color="auto"/>
            </w:tcBorders>
            <w:shd w:val="clear" w:color="auto" w:fill="auto"/>
            <w:vAlign w:val="center"/>
          </w:tcPr>
          <w:p w14:paraId="489BE4DC"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Production</w:t>
            </w:r>
          </w:p>
        </w:tc>
        <w:tc>
          <w:tcPr>
            <w:tcW w:w="340" w:type="pct"/>
            <w:tcBorders>
              <w:top w:val="single" w:sz="4" w:space="0" w:color="auto"/>
              <w:left w:val="single" w:sz="4" w:space="0" w:color="auto"/>
            </w:tcBorders>
            <w:shd w:val="clear" w:color="auto" w:fill="auto"/>
            <w:vAlign w:val="center"/>
          </w:tcPr>
          <w:p w14:paraId="1FA7AA09"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Tons</w:t>
            </w:r>
          </w:p>
        </w:tc>
        <w:tc>
          <w:tcPr>
            <w:tcW w:w="412" w:type="pct"/>
            <w:tcBorders>
              <w:top w:val="single" w:sz="4" w:space="0" w:color="auto"/>
              <w:left w:val="single" w:sz="4" w:space="0" w:color="auto"/>
            </w:tcBorders>
            <w:shd w:val="clear" w:color="auto" w:fill="auto"/>
            <w:vAlign w:val="center"/>
          </w:tcPr>
          <w:p w14:paraId="7E32D42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400</w:t>
            </w:r>
          </w:p>
        </w:tc>
        <w:tc>
          <w:tcPr>
            <w:tcW w:w="468" w:type="pct"/>
            <w:tcBorders>
              <w:top w:val="single" w:sz="4" w:space="0" w:color="auto"/>
              <w:left w:val="single" w:sz="4" w:space="0" w:color="auto"/>
            </w:tcBorders>
            <w:shd w:val="clear" w:color="auto" w:fill="auto"/>
            <w:vAlign w:val="center"/>
          </w:tcPr>
          <w:p w14:paraId="7F013DBE"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30</w:t>
            </w:r>
          </w:p>
        </w:tc>
        <w:tc>
          <w:tcPr>
            <w:tcW w:w="528" w:type="pct"/>
            <w:tcBorders>
              <w:top w:val="single" w:sz="4" w:space="0" w:color="auto"/>
              <w:left w:val="single" w:sz="4" w:space="0" w:color="auto"/>
            </w:tcBorders>
            <w:shd w:val="clear" w:color="auto" w:fill="auto"/>
            <w:vAlign w:val="center"/>
          </w:tcPr>
          <w:p w14:paraId="6DAAAC1D"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63.50</w:t>
            </w:r>
          </w:p>
        </w:tc>
        <w:tc>
          <w:tcPr>
            <w:tcW w:w="520" w:type="pct"/>
            <w:tcBorders>
              <w:top w:val="single" w:sz="4" w:space="0" w:color="auto"/>
              <w:left w:val="single" w:sz="4" w:space="0" w:color="auto"/>
            </w:tcBorders>
            <w:shd w:val="clear" w:color="auto" w:fill="auto"/>
            <w:vAlign w:val="center"/>
          </w:tcPr>
          <w:p w14:paraId="4799CBBF"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265.0</w:t>
            </w:r>
          </w:p>
        </w:tc>
        <w:tc>
          <w:tcPr>
            <w:tcW w:w="540" w:type="pct"/>
            <w:tcBorders>
              <w:top w:val="single" w:sz="4" w:space="0" w:color="auto"/>
              <w:left w:val="single" w:sz="4" w:space="0" w:color="auto"/>
            </w:tcBorders>
            <w:shd w:val="clear" w:color="auto" w:fill="auto"/>
            <w:vAlign w:val="center"/>
          </w:tcPr>
          <w:p w14:paraId="722A37EC"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1,065.9</w:t>
            </w:r>
          </w:p>
        </w:tc>
        <w:tc>
          <w:tcPr>
            <w:tcW w:w="562" w:type="pct"/>
            <w:tcBorders>
              <w:top w:val="single" w:sz="4" w:space="0" w:color="auto"/>
              <w:left w:val="single" w:sz="4" w:space="0" w:color="auto"/>
            </w:tcBorders>
            <w:shd w:val="clear" w:color="auto" w:fill="auto"/>
            <w:vAlign w:val="center"/>
          </w:tcPr>
          <w:p w14:paraId="58B05B42"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24.86</w:t>
            </w:r>
          </w:p>
        </w:tc>
        <w:tc>
          <w:tcPr>
            <w:tcW w:w="529" w:type="pct"/>
            <w:tcBorders>
              <w:top w:val="single" w:sz="4" w:space="0" w:color="auto"/>
              <w:left w:val="single" w:sz="4" w:space="0" w:color="auto"/>
              <w:right w:val="single" w:sz="4" w:space="0" w:color="auto"/>
            </w:tcBorders>
            <w:shd w:val="clear" w:color="auto" w:fill="auto"/>
            <w:vAlign w:val="center"/>
          </w:tcPr>
          <w:p w14:paraId="00A9DD01"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66.25</w:t>
            </w:r>
          </w:p>
        </w:tc>
      </w:tr>
      <w:tr w:rsidR="00336FC0" w:rsidRPr="00050C59" w14:paraId="768E9159" w14:textId="77777777" w:rsidTr="00B933EF">
        <w:tc>
          <w:tcPr>
            <w:tcW w:w="282" w:type="pct"/>
            <w:tcBorders>
              <w:top w:val="single" w:sz="4" w:space="0" w:color="auto"/>
              <w:left w:val="single" w:sz="4" w:space="0" w:color="auto"/>
            </w:tcBorders>
            <w:shd w:val="clear" w:color="auto" w:fill="auto"/>
            <w:vAlign w:val="center"/>
          </w:tcPr>
          <w:p w14:paraId="27B5025C"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3.2</w:t>
            </w:r>
          </w:p>
        </w:tc>
        <w:tc>
          <w:tcPr>
            <w:tcW w:w="819" w:type="pct"/>
            <w:tcBorders>
              <w:top w:val="single" w:sz="4" w:space="0" w:color="auto"/>
              <w:left w:val="single" w:sz="4" w:space="0" w:color="auto"/>
            </w:tcBorders>
            <w:shd w:val="clear" w:color="auto" w:fill="auto"/>
            <w:vAlign w:val="center"/>
          </w:tcPr>
          <w:p w14:paraId="66283AF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Consumption</w:t>
            </w:r>
          </w:p>
        </w:tc>
        <w:tc>
          <w:tcPr>
            <w:tcW w:w="340" w:type="pct"/>
            <w:tcBorders>
              <w:top w:val="single" w:sz="4" w:space="0" w:color="auto"/>
              <w:left w:val="single" w:sz="4" w:space="0" w:color="auto"/>
            </w:tcBorders>
            <w:shd w:val="clear" w:color="auto" w:fill="auto"/>
            <w:vAlign w:val="center"/>
          </w:tcPr>
          <w:p w14:paraId="306B902E"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Tons</w:t>
            </w:r>
          </w:p>
        </w:tc>
        <w:tc>
          <w:tcPr>
            <w:tcW w:w="412" w:type="pct"/>
            <w:tcBorders>
              <w:top w:val="single" w:sz="4" w:space="0" w:color="auto"/>
              <w:left w:val="single" w:sz="4" w:space="0" w:color="auto"/>
            </w:tcBorders>
            <w:shd w:val="clear" w:color="auto" w:fill="auto"/>
            <w:vAlign w:val="center"/>
          </w:tcPr>
          <w:p w14:paraId="2987008A"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400</w:t>
            </w:r>
          </w:p>
        </w:tc>
        <w:tc>
          <w:tcPr>
            <w:tcW w:w="468" w:type="pct"/>
            <w:tcBorders>
              <w:top w:val="single" w:sz="4" w:space="0" w:color="auto"/>
              <w:left w:val="single" w:sz="4" w:space="0" w:color="auto"/>
            </w:tcBorders>
            <w:shd w:val="clear" w:color="auto" w:fill="auto"/>
            <w:vAlign w:val="center"/>
          </w:tcPr>
          <w:p w14:paraId="3B2C8114" w14:textId="77777777" w:rsidR="005A638B" w:rsidRPr="00050C59" w:rsidRDefault="005A638B" w:rsidP="00B933EF">
            <w:pPr>
              <w:tabs>
                <w:tab w:val="left" w:pos="432"/>
              </w:tabs>
              <w:spacing w:after="120" w:line="360" w:lineRule="auto"/>
              <w:rPr>
                <w:rFonts w:ascii="Arial" w:hAnsi="Arial" w:cs="Arial"/>
                <w:color w:val="010000"/>
                <w:sz w:val="20"/>
                <w:szCs w:val="10"/>
              </w:rPr>
            </w:pPr>
          </w:p>
        </w:tc>
        <w:tc>
          <w:tcPr>
            <w:tcW w:w="528" w:type="pct"/>
            <w:tcBorders>
              <w:top w:val="single" w:sz="4" w:space="0" w:color="auto"/>
              <w:left w:val="single" w:sz="4" w:space="0" w:color="auto"/>
            </w:tcBorders>
            <w:shd w:val="clear" w:color="auto" w:fill="auto"/>
            <w:vAlign w:val="center"/>
          </w:tcPr>
          <w:p w14:paraId="3560B907"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26.55</w:t>
            </w:r>
          </w:p>
        </w:tc>
        <w:tc>
          <w:tcPr>
            <w:tcW w:w="520" w:type="pct"/>
            <w:tcBorders>
              <w:top w:val="single" w:sz="4" w:space="0" w:color="auto"/>
              <w:left w:val="single" w:sz="4" w:space="0" w:color="auto"/>
            </w:tcBorders>
            <w:shd w:val="clear" w:color="auto" w:fill="auto"/>
            <w:vAlign w:val="center"/>
          </w:tcPr>
          <w:p w14:paraId="5AA7166F"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485.4</w:t>
            </w:r>
          </w:p>
        </w:tc>
        <w:tc>
          <w:tcPr>
            <w:tcW w:w="540" w:type="pct"/>
            <w:tcBorders>
              <w:top w:val="single" w:sz="4" w:space="0" w:color="auto"/>
              <w:left w:val="single" w:sz="4" w:space="0" w:color="auto"/>
            </w:tcBorders>
            <w:shd w:val="clear" w:color="auto" w:fill="auto"/>
            <w:vAlign w:val="center"/>
          </w:tcPr>
          <w:p w14:paraId="571498CF"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721.1</w:t>
            </w:r>
          </w:p>
        </w:tc>
        <w:tc>
          <w:tcPr>
            <w:tcW w:w="562" w:type="pct"/>
            <w:tcBorders>
              <w:top w:val="single" w:sz="4" w:space="0" w:color="auto"/>
              <w:left w:val="single" w:sz="4" w:space="0" w:color="auto"/>
            </w:tcBorders>
            <w:shd w:val="clear" w:color="auto" w:fill="auto"/>
            <w:vAlign w:val="center"/>
          </w:tcPr>
          <w:p w14:paraId="4C371A09"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67.31</w:t>
            </w:r>
          </w:p>
        </w:tc>
        <w:tc>
          <w:tcPr>
            <w:tcW w:w="529" w:type="pct"/>
            <w:tcBorders>
              <w:top w:val="single" w:sz="4" w:space="0" w:color="auto"/>
              <w:left w:val="single" w:sz="4" w:space="0" w:color="auto"/>
              <w:right w:val="single" w:sz="4" w:space="0" w:color="auto"/>
            </w:tcBorders>
            <w:shd w:val="clear" w:color="auto" w:fill="auto"/>
            <w:vAlign w:val="center"/>
          </w:tcPr>
          <w:p w14:paraId="78EEA721"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121.35</w:t>
            </w:r>
          </w:p>
        </w:tc>
      </w:tr>
      <w:tr w:rsidR="00C717F2" w:rsidRPr="00050C59" w14:paraId="538AC8EB" w14:textId="77777777" w:rsidTr="00B933EF">
        <w:tc>
          <w:tcPr>
            <w:tcW w:w="5000" w:type="pct"/>
            <w:gridSpan w:val="10"/>
            <w:tcBorders>
              <w:top w:val="single" w:sz="4" w:space="0" w:color="auto"/>
              <w:left w:val="single" w:sz="4" w:space="0" w:color="auto"/>
              <w:right w:val="single" w:sz="4" w:space="0" w:color="auto"/>
            </w:tcBorders>
            <w:shd w:val="clear" w:color="auto" w:fill="auto"/>
            <w:vAlign w:val="center"/>
          </w:tcPr>
          <w:p w14:paraId="049497A8" w14:textId="01167E3E" w:rsidR="00C717F2" w:rsidRPr="00050C59" w:rsidRDefault="00C717F2" w:rsidP="00B933EF">
            <w:pPr>
              <w:pStyle w:val="Other0"/>
              <w:tabs>
                <w:tab w:val="left" w:pos="432"/>
              </w:tabs>
              <w:spacing w:after="120" w:line="360" w:lineRule="auto"/>
              <w:rPr>
                <w:rFonts w:ascii="Arial" w:hAnsi="Arial" w:cs="Arial"/>
                <w:color w:val="010000"/>
                <w:sz w:val="20"/>
                <w:szCs w:val="10"/>
              </w:rPr>
            </w:pPr>
            <w:r w:rsidRPr="00050C59">
              <w:rPr>
                <w:rFonts w:ascii="Arial" w:hAnsi="Arial" w:cs="Arial"/>
                <w:color w:val="010000"/>
                <w:sz w:val="20"/>
              </w:rPr>
              <w:t>II.</w:t>
            </w:r>
            <w:r w:rsidR="00B933EF" w:rsidRPr="00050C59">
              <w:rPr>
                <w:rFonts w:ascii="Arial" w:hAnsi="Arial" w:cs="Arial"/>
                <w:color w:val="010000"/>
                <w:sz w:val="20"/>
              </w:rPr>
              <w:t xml:space="preserve"> </w:t>
            </w:r>
            <w:r w:rsidRPr="00050C59">
              <w:rPr>
                <w:rFonts w:ascii="Arial" w:hAnsi="Arial" w:cs="Arial"/>
                <w:color w:val="010000"/>
                <w:sz w:val="20"/>
              </w:rPr>
              <w:t>Financial targets</w:t>
            </w:r>
          </w:p>
        </w:tc>
      </w:tr>
      <w:tr w:rsidR="00336FC0" w:rsidRPr="00050C59" w14:paraId="2D581673" w14:textId="77777777" w:rsidTr="00B933EF">
        <w:tc>
          <w:tcPr>
            <w:tcW w:w="282" w:type="pct"/>
            <w:tcBorders>
              <w:top w:val="single" w:sz="4" w:space="0" w:color="auto"/>
              <w:left w:val="single" w:sz="4" w:space="0" w:color="auto"/>
            </w:tcBorders>
            <w:shd w:val="clear" w:color="auto" w:fill="auto"/>
            <w:vAlign w:val="center"/>
          </w:tcPr>
          <w:p w14:paraId="0E4AD04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w:t>
            </w:r>
          </w:p>
        </w:tc>
        <w:tc>
          <w:tcPr>
            <w:tcW w:w="819" w:type="pct"/>
            <w:tcBorders>
              <w:top w:val="single" w:sz="4" w:space="0" w:color="auto"/>
              <w:left w:val="single" w:sz="4" w:space="0" w:color="auto"/>
            </w:tcBorders>
            <w:shd w:val="clear" w:color="auto" w:fill="auto"/>
            <w:vAlign w:val="center"/>
          </w:tcPr>
          <w:p w14:paraId="6723D88D"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Revenue</w:t>
            </w:r>
          </w:p>
        </w:tc>
        <w:tc>
          <w:tcPr>
            <w:tcW w:w="340" w:type="pct"/>
            <w:tcBorders>
              <w:top w:val="single" w:sz="4" w:space="0" w:color="auto"/>
              <w:left w:val="single" w:sz="4" w:space="0" w:color="auto"/>
            </w:tcBorders>
            <w:shd w:val="clear" w:color="auto" w:fill="auto"/>
            <w:vAlign w:val="center"/>
          </w:tcPr>
          <w:p w14:paraId="653786FE"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Billion VND</w:t>
            </w:r>
          </w:p>
        </w:tc>
        <w:tc>
          <w:tcPr>
            <w:tcW w:w="412" w:type="pct"/>
            <w:tcBorders>
              <w:top w:val="single" w:sz="4" w:space="0" w:color="auto"/>
              <w:left w:val="single" w:sz="4" w:space="0" w:color="auto"/>
            </w:tcBorders>
            <w:shd w:val="clear" w:color="auto" w:fill="auto"/>
            <w:vAlign w:val="center"/>
          </w:tcPr>
          <w:p w14:paraId="1E429C16"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215</w:t>
            </w:r>
          </w:p>
        </w:tc>
        <w:tc>
          <w:tcPr>
            <w:tcW w:w="468" w:type="pct"/>
            <w:tcBorders>
              <w:top w:val="single" w:sz="4" w:space="0" w:color="auto"/>
              <w:left w:val="single" w:sz="4" w:space="0" w:color="auto"/>
            </w:tcBorders>
            <w:shd w:val="clear" w:color="auto" w:fill="auto"/>
            <w:vAlign w:val="center"/>
          </w:tcPr>
          <w:p w14:paraId="7C6ABB59"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40.00</w:t>
            </w:r>
          </w:p>
        </w:tc>
        <w:tc>
          <w:tcPr>
            <w:tcW w:w="528" w:type="pct"/>
            <w:tcBorders>
              <w:top w:val="single" w:sz="4" w:space="0" w:color="auto"/>
              <w:left w:val="single" w:sz="4" w:space="0" w:color="auto"/>
            </w:tcBorders>
            <w:shd w:val="clear" w:color="auto" w:fill="auto"/>
            <w:vAlign w:val="center"/>
          </w:tcPr>
          <w:p w14:paraId="25A250DA"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36.36</w:t>
            </w:r>
          </w:p>
        </w:tc>
        <w:tc>
          <w:tcPr>
            <w:tcW w:w="520" w:type="pct"/>
            <w:tcBorders>
              <w:top w:val="single" w:sz="4" w:space="0" w:color="auto"/>
              <w:left w:val="single" w:sz="4" w:space="0" w:color="auto"/>
            </w:tcBorders>
            <w:shd w:val="clear" w:color="auto" w:fill="auto"/>
            <w:vAlign w:val="center"/>
          </w:tcPr>
          <w:p w14:paraId="5F047710"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195.76</w:t>
            </w:r>
          </w:p>
        </w:tc>
        <w:tc>
          <w:tcPr>
            <w:tcW w:w="540" w:type="pct"/>
            <w:tcBorders>
              <w:top w:val="single" w:sz="4" w:space="0" w:color="auto"/>
              <w:left w:val="single" w:sz="4" w:space="0" w:color="auto"/>
            </w:tcBorders>
            <w:shd w:val="clear" w:color="auto" w:fill="auto"/>
            <w:vAlign w:val="center"/>
          </w:tcPr>
          <w:p w14:paraId="49587FAC"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254.92</w:t>
            </w:r>
          </w:p>
        </w:tc>
        <w:tc>
          <w:tcPr>
            <w:tcW w:w="562" w:type="pct"/>
            <w:tcBorders>
              <w:top w:val="single" w:sz="4" w:space="0" w:color="auto"/>
              <w:left w:val="single" w:sz="4" w:space="0" w:color="auto"/>
            </w:tcBorders>
            <w:shd w:val="clear" w:color="auto" w:fill="auto"/>
            <w:vAlign w:val="center"/>
          </w:tcPr>
          <w:p w14:paraId="6326C1AC"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76.79</w:t>
            </w:r>
          </w:p>
        </w:tc>
        <w:tc>
          <w:tcPr>
            <w:tcW w:w="529" w:type="pct"/>
            <w:tcBorders>
              <w:top w:val="single" w:sz="4" w:space="0" w:color="auto"/>
              <w:left w:val="single" w:sz="4" w:space="0" w:color="auto"/>
              <w:right w:val="single" w:sz="4" w:space="0" w:color="auto"/>
            </w:tcBorders>
            <w:shd w:val="clear" w:color="auto" w:fill="auto"/>
            <w:vAlign w:val="center"/>
          </w:tcPr>
          <w:p w14:paraId="60E0DBA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91.05</w:t>
            </w:r>
          </w:p>
        </w:tc>
      </w:tr>
      <w:tr w:rsidR="00336FC0" w:rsidRPr="00050C59" w14:paraId="26C60562" w14:textId="77777777" w:rsidTr="00B933EF">
        <w:tc>
          <w:tcPr>
            <w:tcW w:w="282" w:type="pct"/>
            <w:tcBorders>
              <w:top w:val="single" w:sz="4" w:space="0" w:color="auto"/>
              <w:left w:val="single" w:sz="4" w:space="0" w:color="auto"/>
              <w:bottom w:val="single" w:sz="4" w:space="0" w:color="auto"/>
            </w:tcBorders>
            <w:shd w:val="clear" w:color="auto" w:fill="auto"/>
            <w:vAlign w:val="center"/>
          </w:tcPr>
          <w:p w14:paraId="2761FFC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2</w:t>
            </w:r>
          </w:p>
        </w:tc>
        <w:tc>
          <w:tcPr>
            <w:tcW w:w="819" w:type="pct"/>
            <w:tcBorders>
              <w:top w:val="single" w:sz="4" w:space="0" w:color="auto"/>
              <w:left w:val="single" w:sz="4" w:space="0" w:color="auto"/>
              <w:bottom w:val="single" w:sz="4" w:space="0" w:color="auto"/>
            </w:tcBorders>
            <w:shd w:val="clear" w:color="auto" w:fill="auto"/>
            <w:vAlign w:val="center"/>
          </w:tcPr>
          <w:p w14:paraId="759DA857"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Profit before tax</w:t>
            </w:r>
          </w:p>
        </w:tc>
        <w:tc>
          <w:tcPr>
            <w:tcW w:w="340" w:type="pct"/>
            <w:tcBorders>
              <w:top w:val="single" w:sz="4" w:space="0" w:color="auto"/>
              <w:left w:val="single" w:sz="4" w:space="0" w:color="auto"/>
              <w:bottom w:val="single" w:sz="4" w:space="0" w:color="auto"/>
            </w:tcBorders>
            <w:shd w:val="clear" w:color="auto" w:fill="auto"/>
            <w:vAlign w:val="center"/>
          </w:tcPr>
          <w:p w14:paraId="3C4FFCE7"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Billion VND</w:t>
            </w:r>
          </w:p>
        </w:tc>
        <w:tc>
          <w:tcPr>
            <w:tcW w:w="412" w:type="pct"/>
            <w:tcBorders>
              <w:top w:val="single" w:sz="4" w:space="0" w:color="auto"/>
              <w:left w:val="single" w:sz="4" w:space="0" w:color="auto"/>
              <w:bottom w:val="single" w:sz="4" w:space="0" w:color="auto"/>
            </w:tcBorders>
            <w:shd w:val="clear" w:color="auto" w:fill="auto"/>
            <w:vAlign w:val="center"/>
          </w:tcPr>
          <w:p w14:paraId="63A607F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10</w:t>
            </w:r>
          </w:p>
        </w:tc>
        <w:tc>
          <w:tcPr>
            <w:tcW w:w="468" w:type="pct"/>
            <w:tcBorders>
              <w:top w:val="single" w:sz="4" w:space="0" w:color="auto"/>
              <w:left w:val="single" w:sz="4" w:space="0" w:color="auto"/>
              <w:bottom w:val="single" w:sz="4" w:space="0" w:color="auto"/>
            </w:tcBorders>
            <w:shd w:val="clear" w:color="auto" w:fill="auto"/>
            <w:vAlign w:val="center"/>
          </w:tcPr>
          <w:p w14:paraId="738BF3E7"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1.30</w:t>
            </w:r>
          </w:p>
        </w:tc>
        <w:tc>
          <w:tcPr>
            <w:tcW w:w="528" w:type="pct"/>
            <w:tcBorders>
              <w:top w:val="single" w:sz="4" w:space="0" w:color="auto"/>
              <w:left w:val="single" w:sz="4" w:space="0" w:color="auto"/>
              <w:bottom w:val="single" w:sz="4" w:space="0" w:color="auto"/>
            </w:tcBorders>
            <w:shd w:val="clear" w:color="auto" w:fill="auto"/>
            <w:vAlign w:val="center"/>
          </w:tcPr>
          <w:p w14:paraId="5B18E412"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1.82</w:t>
            </w:r>
          </w:p>
        </w:tc>
        <w:tc>
          <w:tcPr>
            <w:tcW w:w="520" w:type="pct"/>
            <w:tcBorders>
              <w:top w:val="single" w:sz="4" w:space="0" w:color="auto"/>
              <w:left w:val="single" w:sz="4" w:space="0" w:color="auto"/>
              <w:bottom w:val="single" w:sz="4" w:space="0" w:color="auto"/>
            </w:tcBorders>
            <w:shd w:val="clear" w:color="auto" w:fill="auto"/>
            <w:vAlign w:val="center"/>
          </w:tcPr>
          <w:p w14:paraId="64F269D1"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6.65</w:t>
            </w:r>
          </w:p>
        </w:tc>
        <w:tc>
          <w:tcPr>
            <w:tcW w:w="540" w:type="pct"/>
            <w:tcBorders>
              <w:top w:val="single" w:sz="4" w:space="0" w:color="auto"/>
              <w:left w:val="single" w:sz="4" w:space="0" w:color="auto"/>
              <w:bottom w:val="single" w:sz="4" w:space="0" w:color="auto"/>
            </w:tcBorders>
            <w:shd w:val="clear" w:color="auto" w:fill="auto"/>
            <w:vAlign w:val="center"/>
          </w:tcPr>
          <w:p w14:paraId="42D26A9D"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12.16</w:t>
            </w:r>
          </w:p>
        </w:tc>
        <w:tc>
          <w:tcPr>
            <w:tcW w:w="562" w:type="pct"/>
            <w:tcBorders>
              <w:top w:val="single" w:sz="4" w:space="0" w:color="auto"/>
              <w:left w:val="single" w:sz="4" w:space="0" w:color="auto"/>
              <w:bottom w:val="single" w:sz="4" w:space="0" w:color="auto"/>
            </w:tcBorders>
            <w:shd w:val="clear" w:color="auto" w:fill="auto"/>
            <w:vAlign w:val="center"/>
          </w:tcPr>
          <w:p w14:paraId="1D50F443"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54.69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5B75F0B" w14:textId="77777777" w:rsidR="005A638B" w:rsidRPr="00050C59" w:rsidRDefault="002A5D50" w:rsidP="00B933EF">
            <w:pPr>
              <w:pStyle w:val="Other0"/>
              <w:tabs>
                <w:tab w:val="left" w:pos="432"/>
              </w:tabs>
              <w:spacing w:after="120" w:line="360" w:lineRule="auto"/>
              <w:rPr>
                <w:rFonts w:ascii="Arial" w:hAnsi="Arial" w:cs="Arial"/>
                <w:color w:val="010000"/>
                <w:sz w:val="20"/>
                <w:szCs w:val="20"/>
              </w:rPr>
            </w:pPr>
            <w:r w:rsidRPr="00050C59">
              <w:rPr>
                <w:rFonts w:ascii="Arial" w:hAnsi="Arial" w:cs="Arial"/>
                <w:color w:val="010000"/>
                <w:sz w:val="20"/>
              </w:rPr>
              <w:t>66.50</w:t>
            </w:r>
          </w:p>
        </w:tc>
      </w:tr>
    </w:tbl>
    <w:p w14:paraId="18C720AD" w14:textId="1BDB74D0" w:rsidR="005A638B" w:rsidRPr="00050C59" w:rsidRDefault="00C717F2" w:rsidP="00B933EF">
      <w:pPr>
        <w:pStyle w:val="BodyText"/>
        <w:numPr>
          <w:ilvl w:val="0"/>
          <w:numId w:val="3"/>
        </w:numPr>
        <w:tabs>
          <w:tab w:val="left" w:pos="432"/>
          <w:tab w:val="left" w:pos="9414"/>
        </w:tabs>
        <w:spacing w:after="120" w:line="360" w:lineRule="auto"/>
        <w:ind w:left="0" w:firstLine="0"/>
        <w:rPr>
          <w:rFonts w:ascii="Arial" w:hAnsi="Arial" w:cs="Arial"/>
          <w:color w:val="010000"/>
          <w:sz w:val="20"/>
        </w:rPr>
      </w:pPr>
      <w:r w:rsidRPr="00050C59">
        <w:rPr>
          <w:rFonts w:ascii="Arial" w:hAnsi="Arial" w:cs="Arial"/>
          <w:color w:val="010000"/>
          <w:sz w:val="20"/>
        </w:rPr>
        <w:t>Labor and income targets: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9"/>
        <w:gridCol w:w="3080"/>
        <w:gridCol w:w="940"/>
        <w:gridCol w:w="1426"/>
        <w:gridCol w:w="1582"/>
        <w:gridCol w:w="1270"/>
      </w:tblGrid>
      <w:tr w:rsidR="005A638B" w:rsidRPr="00050C59" w14:paraId="166D68D2" w14:textId="77777777" w:rsidTr="00B933EF">
        <w:tc>
          <w:tcPr>
            <w:tcW w:w="399" w:type="pct"/>
            <w:shd w:val="clear" w:color="auto" w:fill="auto"/>
            <w:vAlign w:val="center"/>
          </w:tcPr>
          <w:p w14:paraId="2A3D53F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No.</w:t>
            </w:r>
          </w:p>
        </w:tc>
        <w:tc>
          <w:tcPr>
            <w:tcW w:w="1708" w:type="pct"/>
            <w:shd w:val="clear" w:color="auto" w:fill="auto"/>
            <w:vAlign w:val="center"/>
          </w:tcPr>
          <w:p w14:paraId="0DCA9FF2"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Content</w:t>
            </w:r>
          </w:p>
        </w:tc>
        <w:tc>
          <w:tcPr>
            <w:tcW w:w="521" w:type="pct"/>
            <w:shd w:val="clear" w:color="auto" w:fill="auto"/>
            <w:vAlign w:val="center"/>
          </w:tcPr>
          <w:p w14:paraId="3166B466"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Unit</w:t>
            </w:r>
          </w:p>
        </w:tc>
        <w:tc>
          <w:tcPr>
            <w:tcW w:w="791" w:type="pct"/>
            <w:shd w:val="clear" w:color="auto" w:fill="auto"/>
            <w:vAlign w:val="center"/>
          </w:tcPr>
          <w:p w14:paraId="4C236A58"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2022</w:t>
            </w:r>
          </w:p>
        </w:tc>
        <w:tc>
          <w:tcPr>
            <w:tcW w:w="877" w:type="pct"/>
            <w:shd w:val="clear" w:color="auto" w:fill="auto"/>
            <w:vAlign w:val="center"/>
          </w:tcPr>
          <w:p w14:paraId="05B3A224"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2023</w:t>
            </w:r>
          </w:p>
        </w:tc>
        <w:tc>
          <w:tcPr>
            <w:tcW w:w="704" w:type="pct"/>
            <w:shd w:val="clear" w:color="auto" w:fill="auto"/>
            <w:vAlign w:val="center"/>
          </w:tcPr>
          <w:p w14:paraId="575FEF5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Rate</w:t>
            </w:r>
          </w:p>
        </w:tc>
      </w:tr>
      <w:tr w:rsidR="005A638B" w:rsidRPr="00050C59" w14:paraId="4A713DA9" w14:textId="77777777" w:rsidTr="00B933EF">
        <w:tc>
          <w:tcPr>
            <w:tcW w:w="399" w:type="pct"/>
            <w:shd w:val="clear" w:color="auto" w:fill="auto"/>
            <w:vAlign w:val="center"/>
          </w:tcPr>
          <w:p w14:paraId="7E5B0B10"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w:t>
            </w:r>
          </w:p>
        </w:tc>
        <w:tc>
          <w:tcPr>
            <w:tcW w:w="1708" w:type="pct"/>
            <w:shd w:val="clear" w:color="auto" w:fill="auto"/>
            <w:vAlign w:val="center"/>
          </w:tcPr>
          <w:p w14:paraId="05C46FA9"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Total salary fund</w:t>
            </w:r>
          </w:p>
        </w:tc>
        <w:tc>
          <w:tcPr>
            <w:tcW w:w="521" w:type="pct"/>
            <w:shd w:val="clear" w:color="auto" w:fill="auto"/>
            <w:vAlign w:val="center"/>
          </w:tcPr>
          <w:p w14:paraId="5BFC49D6"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Million VND</w:t>
            </w:r>
          </w:p>
        </w:tc>
        <w:tc>
          <w:tcPr>
            <w:tcW w:w="791" w:type="pct"/>
            <w:shd w:val="clear" w:color="auto" w:fill="auto"/>
            <w:vAlign w:val="center"/>
          </w:tcPr>
          <w:p w14:paraId="78A96D5B"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40,493</w:t>
            </w:r>
          </w:p>
        </w:tc>
        <w:tc>
          <w:tcPr>
            <w:tcW w:w="877" w:type="pct"/>
            <w:shd w:val="clear" w:color="auto" w:fill="auto"/>
            <w:vAlign w:val="center"/>
          </w:tcPr>
          <w:p w14:paraId="16D53B5D"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35,531</w:t>
            </w:r>
          </w:p>
        </w:tc>
        <w:tc>
          <w:tcPr>
            <w:tcW w:w="704" w:type="pct"/>
            <w:shd w:val="clear" w:color="auto" w:fill="auto"/>
            <w:vAlign w:val="center"/>
          </w:tcPr>
          <w:p w14:paraId="0D5329A4"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87.75%</w:t>
            </w:r>
          </w:p>
        </w:tc>
      </w:tr>
      <w:tr w:rsidR="005A638B" w:rsidRPr="00050C59" w14:paraId="0E34D97D" w14:textId="77777777" w:rsidTr="00B933EF">
        <w:tc>
          <w:tcPr>
            <w:tcW w:w="399" w:type="pct"/>
            <w:shd w:val="clear" w:color="auto" w:fill="auto"/>
            <w:vAlign w:val="center"/>
          </w:tcPr>
          <w:p w14:paraId="7557685D"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lastRenderedPageBreak/>
              <w:t>2</w:t>
            </w:r>
          </w:p>
        </w:tc>
        <w:tc>
          <w:tcPr>
            <w:tcW w:w="1708" w:type="pct"/>
            <w:shd w:val="clear" w:color="auto" w:fill="auto"/>
            <w:vAlign w:val="center"/>
          </w:tcPr>
          <w:p w14:paraId="354BAE2C"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Average salary</w:t>
            </w:r>
          </w:p>
        </w:tc>
        <w:tc>
          <w:tcPr>
            <w:tcW w:w="521" w:type="pct"/>
            <w:shd w:val="clear" w:color="auto" w:fill="auto"/>
            <w:vAlign w:val="center"/>
          </w:tcPr>
          <w:p w14:paraId="3365A786"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Million VND</w:t>
            </w:r>
          </w:p>
        </w:tc>
        <w:tc>
          <w:tcPr>
            <w:tcW w:w="791" w:type="pct"/>
            <w:shd w:val="clear" w:color="auto" w:fill="auto"/>
            <w:vAlign w:val="center"/>
          </w:tcPr>
          <w:p w14:paraId="5DD89BD7"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15.2</w:t>
            </w:r>
          </w:p>
        </w:tc>
        <w:tc>
          <w:tcPr>
            <w:tcW w:w="877" w:type="pct"/>
            <w:shd w:val="clear" w:color="auto" w:fill="auto"/>
            <w:vAlign w:val="center"/>
          </w:tcPr>
          <w:p w14:paraId="59DF70FA"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11.34</w:t>
            </w:r>
          </w:p>
        </w:tc>
        <w:tc>
          <w:tcPr>
            <w:tcW w:w="704" w:type="pct"/>
            <w:shd w:val="clear" w:color="auto" w:fill="auto"/>
            <w:vAlign w:val="center"/>
          </w:tcPr>
          <w:p w14:paraId="6BFE19E8"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74.61%</w:t>
            </w:r>
          </w:p>
        </w:tc>
      </w:tr>
      <w:tr w:rsidR="00C717F2" w:rsidRPr="00050C59" w14:paraId="44F1075E" w14:textId="77777777" w:rsidTr="00B933EF">
        <w:tc>
          <w:tcPr>
            <w:tcW w:w="399" w:type="pct"/>
            <w:shd w:val="clear" w:color="auto" w:fill="auto"/>
            <w:vAlign w:val="center"/>
          </w:tcPr>
          <w:p w14:paraId="0C26ACF5"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w:t>
            </w:r>
          </w:p>
        </w:tc>
        <w:tc>
          <w:tcPr>
            <w:tcW w:w="1708" w:type="pct"/>
            <w:shd w:val="clear" w:color="auto" w:fill="auto"/>
            <w:vAlign w:val="center"/>
          </w:tcPr>
          <w:p w14:paraId="42C5EDD0"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Average income</w:t>
            </w:r>
          </w:p>
        </w:tc>
        <w:tc>
          <w:tcPr>
            <w:tcW w:w="521" w:type="pct"/>
            <w:shd w:val="clear" w:color="auto" w:fill="auto"/>
            <w:vAlign w:val="center"/>
          </w:tcPr>
          <w:p w14:paraId="3E4125B3"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Million VND</w:t>
            </w:r>
          </w:p>
        </w:tc>
        <w:tc>
          <w:tcPr>
            <w:tcW w:w="791" w:type="pct"/>
            <w:shd w:val="clear" w:color="auto" w:fill="auto"/>
            <w:vAlign w:val="center"/>
          </w:tcPr>
          <w:p w14:paraId="64500E81"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16.45</w:t>
            </w:r>
          </w:p>
        </w:tc>
        <w:tc>
          <w:tcPr>
            <w:tcW w:w="877" w:type="pct"/>
            <w:shd w:val="clear" w:color="auto" w:fill="auto"/>
            <w:vAlign w:val="center"/>
          </w:tcPr>
          <w:p w14:paraId="6E4959D4"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14.2</w:t>
            </w:r>
          </w:p>
        </w:tc>
        <w:tc>
          <w:tcPr>
            <w:tcW w:w="704" w:type="pct"/>
            <w:shd w:val="clear" w:color="auto" w:fill="auto"/>
            <w:vAlign w:val="center"/>
          </w:tcPr>
          <w:p w14:paraId="0F081A99"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86.32%</w:t>
            </w:r>
          </w:p>
        </w:tc>
      </w:tr>
      <w:tr w:rsidR="00C717F2" w:rsidRPr="00050C59" w14:paraId="062A5A04" w14:textId="77777777" w:rsidTr="00B933EF">
        <w:tc>
          <w:tcPr>
            <w:tcW w:w="399" w:type="pct"/>
            <w:shd w:val="clear" w:color="auto" w:fill="auto"/>
            <w:vAlign w:val="center"/>
          </w:tcPr>
          <w:p w14:paraId="1F25CDB2"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4</w:t>
            </w:r>
          </w:p>
        </w:tc>
        <w:tc>
          <w:tcPr>
            <w:tcW w:w="1708" w:type="pct"/>
            <w:shd w:val="clear" w:color="auto" w:fill="auto"/>
            <w:vAlign w:val="center"/>
          </w:tcPr>
          <w:p w14:paraId="0850D566"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Average employee</w:t>
            </w:r>
          </w:p>
        </w:tc>
        <w:tc>
          <w:tcPr>
            <w:tcW w:w="521" w:type="pct"/>
            <w:shd w:val="clear" w:color="auto" w:fill="auto"/>
            <w:vAlign w:val="center"/>
          </w:tcPr>
          <w:p w14:paraId="20175238"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 xml:space="preserve">Employee </w:t>
            </w:r>
          </w:p>
        </w:tc>
        <w:tc>
          <w:tcPr>
            <w:tcW w:w="791" w:type="pct"/>
            <w:shd w:val="clear" w:color="auto" w:fill="auto"/>
            <w:vAlign w:val="center"/>
          </w:tcPr>
          <w:p w14:paraId="39B9EF9B"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217</w:t>
            </w:r>
          </w:p>
        </w:tc>
        <w:tc>
          <w:tcPr>
            <w:tcW w:w="877" w:type="pct"/>
            <w:shd w:val="clear" w:color="auto" w:fill="auto"/>
            <w:vAlign w:val="center"/>
          </w:tcPr>
          <w:p w14:paraId="2D29EF2B"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212</w:t>
            </w:r>
          </w:p>
        </w:tc>
        <w:tc>
          <w:tcPr>
            <w:tcW w:w="704" w:type="pct"/>
            <w:shd w:val="clear" w:color="auto" w:fill="auto"/>
            <w:vAlign w:val="center"/>
          </w:tcPr>
          <w:p w14:paraId="3CC900A4" w14:textId="77777777" w:rsidR="00C717F2" w:rsidRPr="00050C59" w:rsidRDefault="00C717F2"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97.69%</w:t>
            </w:r>
          </w:p>
        </w:tc>
      </w:tr>
    </w:tbl>
    <w:p w14:paraId="0B6B6D4D" w14:textId="77777777" w:rsidR="005A638B" w:rsidRPr="00050C59" w:rsidRDefault="002A5D50" w:rsidP="00B933EF">
      <w:pPr>
        <w:pStyle w:val="Tablecaption0"/>
        <w:tabs>
          <w:tab w:val="left" w:pos="432"/>
        </w:tabs>
        <w:spacing w:after="120" w:line="360" w:lineRule="auto"/>
        <w:ind w:left="0" w:firstLine="0"/>
        <w:rPr>
          <w:rFonts w:ascii="Arial" w:hAnsi="Arial" w:cs="Arial"/>
          <w:color w:val="010000"/>
          <w:sz w:val="20"/>
        </w:rPr>
      </w:pPr>
      <w:r w:rsidRPr="00050C59">
        <w:rPr>
          <w:rFonts w:ascii="Arial" w:hAnsi="Arial" w:cs="Arial"/>
          <w:color w:val="010000"/>
          <w:sz w:val="20"/>
        </w:rPr>
        <w:t>‎‎Article 2. Production, business and investment plan for 2024 and implementation solutions</w:t>
      </w:r>
    </w:p>
    <w:p w14:paraId="334CC84A" w14:textId="77777777" w:rsidR="005A638B" w:rsidRPr="00050C59" w:rsidRDefault="002A5D50" w:rsidP="00B933EF">
      <w:pPr>
        <w:pStyle w:val="Tablecaption0"/>
        <w:tabs>
          <w:tab w:val="left" w:pos="432"/>
        </w:tabs>
        <w:spacing w:after="120" w:line="360" w:lineRule="auto"/>
        <w:ind w:left="0" w:firstLine="0"/>
        <w:rPr>
          <w:rFonts w:ascii="Arial" w:hAnsi="Arial" w:cs="Arial"/>
          <w:color w:val="010000"/>
          <w:sz w:val="20"/>
        </w:rPr>
      </w:pPr>
      <w:r w:rsidRPr="00050C59">
        <w:rPr>
          <w:rFonts w:ascii="Arial" w:hAnsi="Arial" w:cs="Arial"/>
          <w:color w:val="010000"/>
          <w:sz w:val="20"/>
        </w:rPr>
        <w:t>- Production and business plan in Q1/2024 and 2024: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2"/>
        <w:gridCol w:w="4083"/>
        <w:gridCol w:w="1270"/>
        <w:gridCol w:w="1401"/>
        <w:gridCol w:w="1491"/>
      </w:tblGrid>
      <w:tr w:rsidR="005A638B" w:rsidRPr="00050C59" w14:paraId="4BFE8C49" w14:textId="77777777" w:rsidTr="00B933EF">
        <w:tc>
          <w:tcPr>
            <w:tcW w:w="428" w:type="pct"/>
            <w:shd w:val="clear" w:color="auto" w:fill="auto"/>
            <w:vAlign w:val="center"/>
          </w:tcPr>
          <w:p w14:paraId="23AC83E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No.</w:t>
            </w:r>
          </w:p>
        </w:tc>
        <w:tc>
          <w:tcPr>
            <w:tcW w:w="2264" w:type="pct"/>
            <w:shd w:val="clear" w:color="auto" w:fill="auto"/>
            <w:vAlign w:val="center"/>
          </w:tcPr>
          <w:p w14:paraId="2C4CA6D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Targets</w:t>
            </w:r>
          </w:p>
        </w:tc>
        <w:tc>
          <w:tcPr>
            <w:tcW w:w="704" w:type="pct"/>
            <w:shd w:val="clear" w:color="auto" w:fill="auto"/>
            <w:vAlign w:val="center"/>
          </w:tcPr>
          <w:p w14:paraId="13A90D87"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Unit</w:t>
            </w:r>
          </w:p>
        </w:tc>
        <w:tc>
          <w:tcPr>
            <w:tcW w:w="777" w:type="pct"/>
            <w:shd w:val="clear" w:color="auto" w:fill="auto"/>
            <w:vAlign w:val="center"/>
          </w:tcPr>
          <w:p w14:paraId="5778A6D8"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2024 Plan</w:t>
            </w:r>
          </w:p>
        </w:tc>
        <w:tc>
          <w:tcPr>
            <w:tcW w:w="827" w:type="pct"/>
            <w:shd w:val="clear" w:color="auto" w:fill="auto"/>
            <w:vAlign w:val="center"/>
          </w:tcPr>
          <w:p w14:paraId="4AA58C27"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Q1/2024 Plan</w:t>
            </w:r>
          </w:p>
        </w:tc>
      </w:tr>
      <w:tr w:rsidR="005A638B" w:rsidRPr="00050C59" w14:paraId="41D5E35E" w14:textId="77777777" w:rsidTr="00B933EF">
        <w:tc>
          <w:tcPr>
            <w:tcW w:w="428" w:type="pct"/>
            <w:shd w:val="clear" w:color="auto" w:fill="auto"/>
            <w:vAlign w:val="center"/>
          </w:tcPr>
          <w:p w14:paraId="7F58975F"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w:t>
            </w:r>
          </w:p>
        </w:tc>
        <w:tc>
          <w:tcPr>
            <w:tcW w:w="2264" w:type="pct"/>
            <w:shd w:val="clear" w:color="auto" w:fill="auto"/>
            <w:vAlign w:val="center"/>
          </w:tcPr>
          <w:p w14:paraId="04B402F6"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Production and consumption</w:t>
            </w:r>
          </w:p>
        </w:tc>
        <w:tc>
          <w:tcPr>
            <w:tcW w:w="704" w:type="pct"/>
            <w:shd w:val="clear" w:color="auto" w:fill="auto"/>
            <w:vAlign w:val="center"/>
          </w:tcPr>
          <w:p w14:paraId="08E25D21"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Tons</w:t>
            </w:r>
          </w:p>
        </w:tc>
        <w:tc>
          <w:tcPr>
            <w:tcW w:w="777" w:type="pct"/>
            <w:shd w:val="clear" w:color="auto" w:fill="auto"/>
            <w:vAlign w:val="center"/>
          </w:tcPr>
          <w:p w14:paraId="6F1B729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5,600</w:t>
            </w:r>
          </w:p>
        </w:tc>
        <w:tc>
          <w:tcPr>
            <w:tcW w:w="827" w:type="pct"/>
            <w:shd w:val="clear" w:color="auto" w:fill="auto"/>
            <w:vAlign w:val="center"/>
          </w:tcPr>
          <w:p w14:paraId="0B07B5CB"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950</w:t>
            </w:r>
          </w:p>
        </w:tc>
      </w:tr>
      <w:tr w:rsidR="005A638B" w:rsidRPr="00050C59" w14:paraId="5775983B" w14:textId="77777777" w:rsidTr="00B933EF">
        <w:tc>
          <w:tcPr>
            <w:tcW w:w="428" w:type="pct"/>
            <w:shd w:val="clear" w:color="auto" w:fill="auto"/>
            <w:vAlign w:val="center"/>
          </w:tcPr>
          <w:p w14:paraId="458076F2"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1.1</w:t>
            </w:r>
          </w:p>
        </w:tc>
        <w:tc>
          <w:tcPr>
            <w:tcW w:w="2264" w:type="pct"/>
            <w:shd w:val="clear" w:color="auto" w:fill="auto"/>
            <w:vAlign w:val="center"/>
          </w:tcPr>
          <w:p w14:paraId="6C600E08"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Steel and cast iron</w:t>
            </w:r>
          </w:p>
        </w:tc>
        <w:tc>
          <w:tcPr>
            <w:tcW w:w="704" w:type="pct"/>
            <w:shd w:val="clear" w:color="auto" w:fill="auto"/>
            <w:vAlign w:val="center"/>
          </w:tcPr>
          <w:p w14:paraId="3C074D3B"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Tons</w:t>
            </w:r>
          </w:p>
        </w:tc>
        <w:tc>
          <w:tcPr>
            <w:tcW w:w="777" w:type="pct"/>
            <w:shd w:val="clear" w:color="auto" w:fill="auto"/>
            <w:vAlign w:val="center"/>
          </w:tcPr>
          <w:p w14:paraId="7F2AA1E1"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3,800</w:t>
            </w:r>
          </w:p>
        </w:tc>
        <w:tc>
          <w:tcPr>
            <w:tcW w:w="827" w:type="pct"/>
            <w:shd w:val="clear" w:color="auto" w:fill="auto"/>
            <w:vAlign w:val="center"/>
          </w:tcPr>
          <w:p w14:paraId="21911F97"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600</w:t>
            </w:r>
          </w:p>
        </w:tc>
      </w:tr>
      <w:tr w:rsidR="005A638B" w:rsidRPr="00050C59" w14:paraId="6165E166" w14:textId="77777777" w:rsidTr="00B933EF">
        <w:tc>
          <w:tcPr>
            <w:tcW w:w="428" w:type="pct"/>
            <w:shd w:val="clear" w:color="auto" w:fill="auto"/>
            <w:vAlign w:val="center"/>
          </w:tcPr>
          <w:p w14:paraId="555DE7FF"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1.2</w:t>
            </w:r>
          </w:p>
        </w:tc>
        <w:tc>
          <w:tcPr>
            <w:tcW w:w="2264" w:type="pct"/>
            <w:shd w:val="clear" w:color="auto" w:fill="auto"/>
            <w:vAlign w:val="center"/>
          </w:tcPr>
          <w:p w14:paraId="0E9A164E"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Mechanical fabrication - forging</w:t>
            </w:r>
          </w:p>
        </w:tc>
        <w:tc>
          <w:tcPr>
            <w:tcW w:w="704" w:type="pct"/>
            <w:shd w:val="clear" w:color="auto" w:fill="auto"/>
            <w:vAlign w:val="center"/>
          </w:tcPr>
          <w:p w14:paraId="48565AB1"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Tons</w:t>
            </w:r>
          </w:p>
        </w:tc>
        <w:tc>
          <w:tcPr>
            <w:tcW w:w="777" w:type="pct"/>
            <w:shd w:val="clear" w:color="auto" w:fill="auto"/>
            <w:vAlign w:val="center"/>
          </w:tcPr>
          <w:p w14:paraId="33E2268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1,500</w:t>
            </w:r>
          </w:p>
        </w:tc>
        <w:tc>
          <w:tcPr>
            <w:tcW w:w="827" w:type="pct"/>
            <w:shd w:val="clear" w:color="auto" w:fill="auto"/>
            <w:vAlign w:val="center"/>
          </w:tcPr>
          <w:p w14:paraId="05EC9D94"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300</w:t>
            </w:r>
          </w:p>
        </w:tc>
      </w:tr>
      <w:tr w:rsidR="005A638B" w:rsidRPr="00050C59" w14:paraId="5BBEB613" w14:textId="77777777" w:rsidTr="00B933EF">
        <w:tc>
          <w:tcPr>
            <w:tcW w:w="428" w:type="pct"/>
            <w:shd w:val="clear" w:color="auto" w:fill="auto"/>
            <w:vAlign w:val="center"/>
          </w:tcPr>
          <w:p w14:paraId="1C84ED7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1.3</w:t>
            </w:r>
          </w:p>
        </w:tc>
        <w:tc>
          <w:tcPr>
            <w:tcW w:w="2264" w:type="pct"/>
            <w:shd w:val="clear" w:color="auto" w:fill="auto"/>
            <w:vAlign w:val="center"/>
          </w:tcPr>
          <w:p w14:paraId="32966E75"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Welded structure</w:t>
            </w:r>
          </w:p>
        </w:tc>
        <w:tc>
          <w:tcPr>
            <w:tcW w:w="704" w:type="pct"/>
            <w:shd w:val="clear" w:color="auto" w:fill="auto"/>
            <w:vAlign w:val="center"/>
          </w:tcPr>
          <w:p w14:paraId="501846E2"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Tons</w:t>
            </w:r>
          </w:p>
        </w:tc>
        <w:tc>
          <w:tcPr>
            <w:tcW w:w="777" w:type="pct"/>
            <w:shd w:val="clear" w:color="auto" w:fill="auto"/>
            <w:vAlign w:val="center"/>
          </w:tcPr>
          <w:p w14:paraId="4E6437C6"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300</w:t>
            </w:r>
          </w:p>
        </w:tc>
        <w:tc>
          <w:tcPr>
            <w:tcW w:w="827" w:type="pct"/>
            <w:shd w:val="clear" w:color="auto" w:fill="auto"/>
            <w:vAlign w:val="center"/>
          </w:tcPr>
          <w:p w14:paraId="75BC8171"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50</w:t>
            </w:r>
          </w:p>
        </w:tc>
      </w:tr>
      <w:tr w:rsidR="005A638B" w:rsidRPr="00050C59" w14:paraId="0996DFC9" w14:textId="77777777" w:rsidTr="00B933EF">
        <w:tc>
          <w:tcPr>
            <w:tcW w:w="428" w:type="pct"/>
            <w:shd w:val="clear" w:color="auto" w:fill="auto"/>
            <w:vAlign w:val="center"/>
          </w:tcPr>
          <w:p w14:paraId="3E5BD1A4"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2</w:t>
            </w:r>
          </w:p>
        </w:tc>
        <w:tc>
          <w:tcPr>
            <w:tcW w:w="2264" w:type="pct"/>
            <w:shd w:val="clear" w:color="auto" w:fill="auto"/>
            <w:vAlign w:val="center"/>
          </w:tcPr>
          <w:p w14:paraId="63865924"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Revenue</w:t>
            </w:r>
          </w:p>
        </w:tc>
        <w:tc>
          <w:tcPr>
            <w:tcW w:w="704" w:type="pct"/>
            <w:shd w:val="clear" w:color="auto" w:fill="auto"/>
            <w:vAlign w:val="center"/>
          </w:tcPr>
          <w:p w14:paraId="3416AEBE"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Billion VND</w:t>
            </w:r>
          </w:p>
        </w:tc>
        <w:tc>
          <w:tcPr>
            <w:tcW w:w="777" w:type="pct"/>
            <w:shd w:val="clear" w:color="auto" w:fill="auto"/>
            <w:vAlign w:val="center"/>
          </w:tcPr>
          <w:p w14:paraId="653A81BE"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190.0</w:t>
            </w:r>
          </w:p>
        </w:tc>
        <w:tc>
          <w:tcPr>
            <w:tcW w:w="827" w:type="pct"/>
            <w:shd w:val="clear" w:color="auto" w:fill="auto"/>
            <w:vAlign w:val="center"/>
          </w:tcPr>
          <w:p w14:paraId="1090443F"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30.0</w:t>
            </w:r>
          </w:p>
        </w:tc>
      </w:tr>
      <w:tr w:rsidR="005A638B" w:rsidRPr="00050C59" w14:paraId="48B1089E" w14:textId="77777777" w:rsidTr="00B933EF">
        <w:tc>
          <w:tcPr>
            <w:tcW w:w="428" w:type="pct"/>
            <w:shd w:val="clear" w:color="auto" w:fill="auto"/>
            <w:vAlign w:val="center"/>
          </w:tcPr>
          <w:p w14:paraId="7C13CCA7"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3</w:t>
            </w:r>
          </w:p>
        </w:tc>
        <w:tc>
          <w:tcPr>
            <w:tcW w:w="2264" w:type="pct"/>
            <w:shd w:val="clear" w:color="auto" w:fill="auto"/>
            <w:vAlign w:val="center"/>
          </w:tcPr>
          <w:p w14:paraId="1E9F0A12"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Profit before tax</w:t>
            </w:r>
          </w:p>
        </w:tc>
        <w:tc>
          <w:tcPr>
            <w:tcW w:w="704" w:type="pct"/>
            <w:shd w:val="clear" w:color="auto" w:fill="auto"/>
            <w:vAlign w:val="center"/>
          </w:tcPr>
          <w:p w14:paraId="5652217D"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Billion VND</w:t>
            </w:r>
          </w:p>
        </w:tc>
        <w:tc>
          <w:tcPr>
            <w:tcW w:w="777" w:type="pct"/>
            <w:shd w:val="clear" w:color="auto" w:fill="auto"/>
            <w:vAlign w:val="center"/>
          </w:tcPr>
          <w:p w14:paraId="27DBA728"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6.5</w:t>
            </w:r>
          </w:p>
        </w:tc>
        <w:tc>
          <w:tcPr>
            <w:tcW w:w="827" w:type="pct"/>
            <w:shd w:val="clear" w:color="auto" w:fill="auto"/>
            <w:vAlign w:val="center"/>
          </w:tcPr>
          <w:p w14:paraId="30A86ED7" w14:textId="77777777" w:rsidR="005A638B" w:rsidRPr="00050C59" w:rsidRDefault="002A5D50" w:rsidP="00B933EF">
            <w:pPr>
              <w:pStyle w:val="Other0"/>
              <w:tabs>
                <w:tab w:val="left" w:pos="432"/>
              </w:tabs>
              <w:spacing w:after="120" w:line="360" w:lineRule="auto"/>
              <w:rPr>
                <w:rFonts w:ascii="Arial" w:hAnsi="Arial" w:cs="Arial"/>
                <w:color w:val="010000"/>
                <w:sz w:val="20"/>
              </w:rPr>
            </w:pPr>
            <w:r w:rsidRPr="00050C59">
              <w:rPr>
                <w:rFonts w:ascii="Arial" w:hAnsi="Arial" w:cs="Arial"/>
                <w:color w:val="010000"/>
                <w:sz w:val="20"/>
              </w:rPr>
              <w:t>1.5</w:t>
            </w:r>
          </w:p>
        </w:tc>
      </w:tr>
    </w:tbl>
    <w:p w14:paraId="4AA47F6C" w14:textId="5AD618F8" w:rsidR="005A638B" w:rsidRPr="00050C59" w:rsidRDefault="002A5D50" w:rsidP="00B933EF">
      <w:pPr>
        <w:pStyle w:val="Tablecaption0"/>
        <w:numPr>
          <w:ilvl w:val="0"/>
          <w:numId w:val="3"/>
        </w:numPr>
        <w:tabs>
          <w:tab w:val="left" w:pos="432"/>
        </w:tabs>
        <w:spacing w:after="120" w:line="360" w:lineRule="auto"/>
        <w:ind w:left="0" w:firstLine="0"/>
        <w:jc w:val="both"/>
        <w:rPr>
          <w:rFonts w:ascii="Arial" w:hAnsi="Arial" w:cs="Arial"/>
          <w:color w:val="010000"/>
          <w:sz w:val="20"/>
        </w:rPr>
      </w:pPr>
      <w:r w:rsidRPr="00050C59">
        <w:rPr>
          <w:rFonts w:ascii="Arial" w:hAnsi="Arial" w:cs="Arial"/>
          <w:color w:val="010000"/>
          <w:sz w:val="20"/>
        </w:rPr>
        <w:t>Investment plan for 2024: Mainly investing in repairing, upgrading, and purchasing machinery and equipment to serve the needs of improving product quality. Assign the General Manager to develop an investment plan to upgrade machinery and equipment in 2024.</w:t>
      </w:r>
    </w:p>
    <w:p w14:paraId="11FC4528" w14:textId="6288C8F8" w:rsidR="005A638B" w:rsidRPr="00050C59" w:rsidRDefault="002A5D50" w:rsidP="00B933EF">
      <w:pPr>
        <w:pStyle w:val="BodyText"/>
        <w:numPr>
          <w:ilvl w:val="0"/>
          <w:numId w:val="3"/>
        </w:numPr>
        <w:tabs>
          <w:tab w:val="left" w:pos="432"/>
        </w:tabs>
        <w:spacing w:after="120" w:line="360" w:lineRule="auto"/>
        <w:ind w:left="0" w:firstLine="0"/>
        <w:rPr>
          <w:rFonts w:ascii="Arial" w:hAnsi="Arial" w:cs="Arial"/>
          <w:color w:val="010000"/>
          <w:sz w:val="20"/>
        </w:rPr>
      </w:pPr>
      <w:r w:rsidRPr="00050C59">
        <w:rPr>
          <w:rFonts w:ascii="Arial" w:hAnsi="Arial" w:cs="Arial"/>
          <w:color w:val="010000"/>
          <w:sz w:val="20"/>
        </w:rPr>
        <w:t>Main solutions:</w:t>
      </w:r>
    </w:p>
    <w:p w14:paraId="15F5BB98" w14:textId="5C7A4AD0" w:rsidR="005A638B" w:rsidRPr="00050C59" w:rsidRDefault="002A5D50" w:rsidP="00B933EF">
      <w:pPr>
        <w:pStyle w:val="BodyText"/>
        <w:numPr>
          <w:ilvl w:val="0"/>
          <w:numId w:val="4"/>
        </w:numPr>
        <w:tabs>
          <w:tab w:val="left" w:pos="432"/>
        </w:tabs>
        <w:spacing w:after="120" w:line="360" w:lineRule="auto"/>
        <w:ind w:left="0"/>
        <w:rPr>
          <w:rFonts w:ascii="Arial" w:hAnsi="Arial" w:cs="Arial"/>
          <w:color w:val="010000"/>
          <w:sz w:val="20"/>
        </w:rPr>
      </w:pPr>
      <w:r w:rsidRPr="00050C59">
        <w:rPr>
          <w:rFonts w:ascii="Arial" w:hAnsi="Arial" w:cs="Arial"/>
          <w:color w:val="010000"/>
          <w:sz w:val="20"/>
        </w:rPr>
        <w:t>Business work: Actively promote Marketing, constantly find new customers to ensure production plans; maintain relationships with key customers, consolidate and develop the Sadakim brand on the Ministry of Industry and Trade's web portal, yellow pages, website, Google; and develop customer care policy: Regularly visit, organize conferences, receive and promptly process customer recommendations.</w:t>
      </w:r>
    </w:p>
    <w:p w14:paraId="0F2A6234" w14:textId="33C27CE3" w:rsidR="005A638B" w:rsidRPr="00050C59" w:rsidRDefault="002A5D50" w:rsidP="00B933EF">
      <w:pPr>
        <w:pStyle w:val="BodyText"/>
        <w:numPr>
          <w:ilvl w:val="0"/>
          <w:numId w:val="5"/>
        </w:numPr>
        <w:tabs>
          <w:tab w:val="left" w:pos="432"/>
        </w:tabs>
        <w:spacing w:after="120" w:line="360" w:lineRule="auto"/>
        <w:rPr>
          <w:rFonts w:ascii="Arial" w:hAnsi="Arial" w:cs="Arial"/>
          <w:color w:val="010000"/>
          <w:sz w:val="20"/>
        </w:rPr>
      </w:pPr>
      <w:r w:rsidRPr="00050C59">
        <w:rPr>
          <w:rFonts w:ascii="Arial" w:hAnsi="Arial" w:cs="Arial"/>
          <w:color w:val="010000"/>
          <w:sz w:val="20"/>
        </w:rPr>
        <w:t>Production: Improve management and organize production appropriately to increase labor productivity, comply with technological discipline, practice saving raw materials, damaged goods and processed goods to reduce product costs and increase competitiveness; further strengthen product quality inspection, ensuring the best quality products for customers.</w:t>
      </w:r>
    </w:p>
    <w:p w14:paraId="68063044" w14:textId="5A94F603" w:rsidR="005A638B" w:rsidRPr="00050C59" w:rsidRDefault="002A5D50" w:rsidP="00B933EF">
      <w:pPr>
        <w:pStyle w:val="BodyText"/>
        <w:numPr>
          <w:ilvl w:val="0"/>
          <w:numId w:val="5"/>
        </w:numPr>
        <w:tabs>
          <w:tab w:val="left" w:pos="432"/>
        </w:tabs>
        <w:spacing w:after="120" w:line="360" w:lineRule="auto"/>
        <w:rPr>
          <w:rFonts w:ascii="Arial" w:hAnsi="Arial" w:cs="Arial"/>
          <w:color w:val="010000"/>
          <w:sz w:val="20"/>
        </w:rPr>
      </w:pPr>
      <w:r w:rsidRPr="00050C59">
        <w:rPr>
          <w:rFonts w:ascii="Arial" w:hAnsi="Arial" w:cs="Arial"/>
          <w:color w:val="010000"/>
          <w:sz w:val="20"/>
        </w:rPr>
        <w:t>Technical and investment: Continue to improve technological processes, monitor production and propose solutions to reduce consumption of raw materials and increase labor efficiency; invest in more machinery and equipment suitable for the current product structure to speed up progress and improve efficiency; promote the role of the safety team, minimize incidents that cause unsafe labor to occur; strengthen periodic inspection of compliance with labor safety regulations; continue to improve the working environment for employees</w:t>
      </w:r>
    </w:p>
    <w:p w14:paraId="50769691" w14:textId="1FAEB2E0" w:rsidR="005A638B" w:rsidRPr="00050C59" w:rsidRDefault="002A5D50" w:rsidP="00B933EF">
      <w:pPr>
        <w:pStyle w:val="BodyText"/>
        <w:numPr>
          <w:ilvl w:val="0"/>
          <w:numId w:val="5"/>
        </w:numPr>
        <w:tabs>
          <w:tab w:val="left" w:pos="432"/>
        </w:tabs>
        <w:spacing w:after="120" w:line="360" w:lineRule="auto"/>
        <w:rPr>
          <w:rFonts w:ascii="Arial" w:hAnsi="Arial" w:cs="Arial"/>
          <w:color w:val="010000"/>
          <w:sz w:val="20"/>
        </w:rPr>
      </w:pPr>
      <w:r w:rsidRPr="00050C59">
        <w:rPr>
          <w:rFonts w:ascii="Arial" w:hAnsi="Arial" w:cs="Arial"/>
          <w:color w:val="010000"/>
          <w:sz w:val="20"/>
        </w:rPr>
        <w:t xml:space="preserve">Administrative organization: Follow closely the policy and relocation roadmap of Dong Nai </w:t>
      </w:r>
      <w:r w:rsidRPr="00050C59">
        <w:rPr>
          <w:rFonts w:ascii="Arial" w:hAnsi="Arial" w:cs="Arial"/>
          <w:color w:val="010000"/>
          <w:sz w:val="20"/>
        </w:rPr>
        <w:lastRenderedPageBreak/>
        <w:t>Province to create a plan to resolve employee benefits; review and supplement labor contracts; develop internal working regulations of the agency; continue to recruit labor (especially highly skilled workers); strengthen quality, substantive on-the-job training to meet increasing requirements for product quality and shorten production progress; continue to review and complete internal management documents, especially documents related to relocation.</w:t>
      </w:r>
    </w:p>
    <w:p w14:paraId="707B07CC" w14:textId="6F4D2740" w:rsidR="005A638B" w:rsidRPr="00050C59" w:rsidRDefault="002A5D50" w:rsidP="00B933EF">
      <w:pPr>
        <w:pStyle w:val="BodyText"/>
        <w:numPr>
          <w:ilvl w:val="0"/>
          <w:numId w:val="5"/>
        </w:numPr>
        <w:tabs>
          <w:tab w:val="left" w:pos="432"/>
        </w:tabs>
        <w:spacing w:after="120" w:line="360" w:lineRule="auto"/>
        <w:rPr>
          <w:rFonts w:ascii="Arial" w:hAnsi="Arial" w:cs="Arial"/>
          <w:color w:val="010000"/>
          <w:sz w:val="20"/>
        </w:rPr>
      </w:pPr>
      <w:r w:rsidRPr="00050C59">
        <w:rPr>
          <w:rFonts w:ascii="Arial" w:hAnsi="Arial" w:cs="Arial"/>
          <w:color w:val="010000"/>
          <w:sz w:val="20"/>
        </w:rPr>
        <w:t>Finance and accounting: Flexibly and thoroughly apply debt collection methods and limit bad debts; develop a plan to prepare capital sources for the Company's relocation; regularly let accountants attend professional classes to update and supplement new policies.</w:t>
      </w:r>
    </w:p>
    <w:p w14:paraId="3AE7161F" w14:textId="00E45028" w:rsidR="005A638B" w:rsidRPr="00050C59" w:rsidRDefault="002A5D50" w:rsidP="00B933EF">
      <w:pPr>
        <w:pStyle w:val="BodyText"/>
        <w:numPr>
          <w:ilvl w:val="0"/>
          <w:numId w:val="5"/>
        </w:numPr>
        <w:tabs>
          <w:tab w:val="left" w:pos="432"/>
        </w:tabs>
        <w:spacing w:after="120" w:line="360" w:lineRule="auto"/>
        <w:rPr>
          <w:rFonts w:ascii="Arial" w:hAnsi="Arial" w:cs="Arial"/>
          <w:color w:val="010000"/>
          <w:sz w:val="20"/>
        </w:rPr>
      </w:pPr>
      <w:r w:rsidRPr="00050C59">
        <w:rPr>
          <w:rFonts w:ascii="Arial" w:hAnsi="Arial" w:cs="Arial"/>
          <w:color w:val="010000"/>
          <w:sz w:val="20"/>
        </w:rPr>
        <w:t>Launching the emulation movement: technical innovation initiatives, good workers, creative workers, advanced examples, set an example to strengthen internal solidarity and contribute to completing political tasks.</w:t>
      </w:r>
    </w:p>
    <w:p w14:paraId="4E486439" w14:textId="51E3B7BE" w:rsidR="005A638B" w:rsidRPr="00050C59" w:rsidRDefault="002A5D50" w:rsidP="00B933EF">
      <w:pPr>
        <w:pStyle w:val="BodyText"/>
        <w:numPr>
          <w:ilvl w:val="0"/>
          <w:numId w:val="5"/>
        </w:numPr>
        <w:tabs>
          <w:tab w:val="left" w:pos="432"/>
        </w:tabs>
        <w:spacing w:after="120" w:line="360" w:lineRule="auto"/>
        <w:rPr>
          <w:rFonts w:ascii="Arial" w:hAnsi="Arial" w:cs="Arial"/>
          <w:color w:val="010000"/>
          <w:sz w:val="20"/>
        </w:rPr>
      </w:pPr>
      <w:r w:rsidRPr="00050C59">
        <w:rPr>
          <w:rFonts w:ascii="Arial" w:hAnsi="Arial" w:cs="Arial"/>
          <w:color w:val="010000"/>
          <w:sz w:val="20"/>
        </w:rPr>
        <w:t>Relocation investment plan: develop a roadmap for preparation steps for relocation in 2025. Specifically, complete 02 steps: Prepare capital sources and relocation locations in 2024.</w:t>
      </w:r>
    </w:p>
    <w:p w14:paraId="4A39CB0E" w14:textId="77777777" w:rsidR="005A638B" w:rsidRPr="00050C59" w:rsidRDefault="002A5D50" w:rsidP="00B933EF">
      <w:pPr>
        <w:pStyle w:val="BodyText"/>
        <w:tabs>
          <w:tab w:val="left" w:pos="432"/>
        </w:tabs>
        <w:spacing w:after="120" w:line="360" w:lineRule="auto"/>
        <w:rPr>
          <w:rFonts w:ascii="Arial" w:hAnsi="Arial" w:cs="Arial"/>
          <w:color w:val="010000"/>
          <w:sz w:val="20"/>
        </w:rPr>
      </w:pPr>
      <w:r w:rsidRPr="00050C59">
        <w:rPr>
          <w:rFonts w:ascii="Arial" w:hAnsi="Arial" w:cs="Arial"/>
          <w:color w:val="010000"/>
          <w:sz w:val="20"/>
        </w:rPr>
        <w:t>‎‎Article 3. Agree with the content of Proposal No. 22/TTr-CKLK dated January 17, 2024 of the General Manager of the Company on settlement of salary for 2023 and salary plan for 2024.</w:t>
      </w:r>
    </w:p>
    <w:p w14:paraId="262FA497" w14:textId="77777777" w:rsidR="005A638B" w:rsidRPr="00050C59" w:rsidRDefault="002A5D50" w:rsidP="00B933EF">
      <w:pPr>
        <w:pStyle w:val="BodyText"/>
        <w:tabs>
          <w:tab w:val="left" w:pos="432"/>
        </w:tabs>
        <w:spacing w:after="120" w:line="360" w:lineRule="auto"/>
        <w:rPr>
          <w:rFonts w:ascii="Arial" w:hAnsi="Arial" w:cs="Arial"/>
          <w:color w:val="010000"/>
          <w:sz w:val="20"/>
        </w:rPr>
      </w:pPr>
      <w:r w:rsidRPr="00050C59">
        <w:rPr>
          <w:rFonts w:ascii="Arial" w:hAnsi="Arial" w:cs="Arial"/>
          <w:color w:val="010000"/>
          <w:sz w:val="20"/>
        </w:rPr>
        <w:t>‎‎Article 4. Agree on the preparation of contents submitted to the Annual General Meeting of Shareholders 2024.</w:t>
      </w:r>
    </w:p>
    <w:p w14:paraId="0CC9F9CB" w14:textId="77777777" w:rsidR="005A638B" w:rsidRPr="00050C59" w:rsidRDefault="002A5D50" w:rsidP="00B933EF">
      <w:pPr>
        <w:pStyle w:val="BodyText"/>
        <w:tabs>
          <w:tab w:val="left" w:pos="432"/>
        </w:tabs>
        <w:spacing w:after="120" w:line="360" w:lineRule="auto"/>
        <w:rPr>
          <w:rFonts w:ascii="Arial" w:hAnsi="Arial" w:cs="Arial"/>
          <w:color w:val="010000"/>
          <w:sz w:val="20"/>
        </w:rPr>
      </w:pPr>
      <w:r w:rsidRPr="00050C59">
        <w:rPr>
          <w:rFonts w:ascii="Arial" w:hAnsi="Arial" w:cs="Arial"/>
          <w:color w:val="010000"/>
          <w:sz w:val="20"/>
        </w:rPr>
        <w:t>‎‎Article 5. Agree on assigning the Executive Board to prepare a set of pre-feasibility dossiers for the Company’s relocation to submit to Viet Nam Steel Corporation for review and comments.</w:t>
      </w:r>
    </w:p>
    <w:p w14:paraId="3B80986B" w14:textId="77777777" w:rsidR="005A638B" w:rsidRPr="00050C59" w:rsidRDefault="002A5D50" w:rsidP="00B933EF">
      <w:pPr>
        <w:pStyle w:val="BodyText"/>
        <w:tabs>
          <w:tab w:val="left" w:pos="432"/>
        </w:tabs>
        <w:spacing w:after="120" w:line="360" w:lineRule="auto"/>
        <w:rPr>
          <w:rFonts w:ascii="Arial" w:hAnsi="Arial" w:cs="Arial"/>
          <w:color w:val="010000"/>
          <w:sz w:val="20"/>
        </w:rPr>
      </w:pPr>
      <w:r w:rsidRPr="00050C59">
        <w:rPr>
          <w:rFonts w:ascii="Arial" w:hAnsi="Arial" w:cs="Arial"/>
          <w:color w:val="010000"/>
          <w:sz w:val="20"/>
        </w:rPr>
        <w:t>‎‎Article 6. The Board of Directors assigns the Company's General Manager to direct and implement the plan for Q1/2024 and 2024. The Board of Management of the Company, relevant departments and units are responsible for implementing this Resolution.</w:t>
      </w:r>
    </w:p>
    <w:p w14:paraId="503B4DE5" w14:textId="77777777" w:rsidR="00336FC0" w:rsidRPr="00050C59" w:rsidRDefault="002A5D50" w:rsidP="00B933EF">
      <w:pPr>
        <w:pStyle w:val="BodyText"/>
        <w:tabs>
          <w:tab w:val="left" w:pos="432"/>
        </w:tabs>
        <w:spacing w:after="120" w:line="360" w:lineRule="auto"/>
        <w:rPr>
          <w:rFonts w:ascii="Arial" w:hAnsi="Arial" w:cs="Arial"/>
          <w:color w:val="010000"/>
          <w:sz w:val="20"/>
        </w:rPr>
      </w:pPr>
      <w:r w:rsidRPr="00050C59">
        <w:rPr>
          <w:rFonts w:ascii="Arial" w:hAnsi="Arial" w:cs="Arial"/>
          <w:color w:val="010000"/>
          <w:sz w:val="20"/>
        </w:rPr>
        <w:t>This Resolution takes effect from the date of signing.</w:t>
      </w:r>
    </w:p>
    <w:sectPr w:rsidR="00336FC0" w:rsidRPr="00050C59" w:rsidSect="00B933EF">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EB4D" w14:textId="77777777" w:rsidR="00B22683" w:rsidRDefault="00B22683">
      <w:r>
        <w:separator/>
      </w:r>
    </w:p>
  </w:endnote>
  <w:endnote w:type="continuationSeparator" w:id="0">
    <w:p w14:paraId="2C63A4D1" w14:textId="77777777" w:rsidR="00B22683" w:rsidRDefault="00B2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0F665" w14:textId="77777777" w:rsidR="00B22683" w:rsidRDefault="00B22683"/>
  </w:footnote>
  <w:footnote w:type="continuationSeparator" w:id="0">
    <w:p w14:paraId="7BD4DCBE" w14:textId="77777777" w:rsidR="00B22683" w:rsidRDefault="00B226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C0DB2"/>
    <w:multiLevelType w:val="hybridMultilevel"/>
    <w:tmpl w:val="1474F248"/>
    <w:lvl w:ilvl="0" w:tplc="581CA73A">
      <w:start w:val="1"/>
      <w:numFmt w:val="bullet"/>
      <w:lvlRestart w:val="0"/>
      <w:lvlText w:val="+"/>
      <w:lvlJc w:val="left"/>
      <w:pPr>
        <w:ind w:left="0" w:firstLine="0"/>
      </w:pPr>
      <w:rPr>
        <w:rFonts w:ascii="Arial" w:hAnsi="Arial" w:cs="Arial" w:hint="default"/>
        <w:b w:val="0"/>
        <w:i w:val="0"/>
        <w:sz w:val="20"/>
      </w:rPr>
    </w:lvl>
    <w:lvl w:ilvl="1" w:tplc="E46E1282" w:tentative="1">
      <w:start w:val="1"/>
      <w:numFmt w:val="bullet"/>
      <w:lvlText w:val="o"/>
      <w:lvlJc w:val="left"/>
      <w:pPr>
        <w:ind w:left="1440" w:hanging="360"/>
      </w:pPr>
      <w:rPr>
        <w:rFonts w:ascii="Courier New" w:hAnsi="Courier New" w:cs="Courier New" w:hint="default"/>
        <w:b w:val="0"/>
        <w:i w:val="0"/>
        <w:sz w:val="20"/>
      </w:rPr>
    </w:lvl>
    <w:lvl w:ilvl="2" w:tplc="3E60708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67580"/>
    <w:multiLevelType w:val="hybridMultilevel"/>
    <w:tmpl w:val="AA0C2742"/>
    <w:lvl w:ilvl="0" w:tplc="448ADD10">
      <w:numFmt w:val="bullet"/>
      <w:lvlText w:val="-"/>
      <w:lvlJc w:val="left"/>
      <w:pPr>
        <w:ind w:left="720" w:hanging="360"/>
      </w:pPr>
      <w:rPr>
        <w:rFonts w:ascii="Arial" w:eastAsia="Times New Roman" w:hAnsi="Arial" w:cs="Arial" w:hint="default"/>
        <w:b w:val="0"/>
        <w:i w:val="0"/>
        <w:sz w:val="20"/>
      </w:rPr>
    </w:lvl>
    <w:lvl w:ilvl="1" w:tplc="A24606F6" w:tentative="1">
      <w:start w:val="1"/>
      <w:numFmt w:val="bullet"/>
      <w:lvlText w:val="o"/>
      <w:lvlJc w:val="left"/>
      <w:pPr>
        <w:ind w:left="1440" w:hanging="360"/>
      </w:pPr>
      <w:rPr>
        <w:rFonts w:ascii="Courier New" w:hAnsi="Courier New" w:cs="Courier New" w:hint="default"/>
        <w:b w:val="0"/>
        <w:i w:val="0"/>
        <w:sz w:val="20"/>
      </w:rPr>
    </w:lvl>
    <w:lvl w:ilvl="2" w:tplc="96C8136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05F75"/>
    <w:multiLevelType w:val="multilevel"/>
    <w:tmpl w:val="208E525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1C6F00"/>
    <w:multiLevelType w:val="hybridMultilevel"/>
    <w:tmpl w:val="4AE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52A33"/>
    <w:multiLevelType w:val="hybridMultilevel"/>
    <w:tmpl w:val="7A8AA3A6"/>
    <w:lvl w:ilvl="0" w:tplc="79565F34">
      <w:start w:val="1"/>
      <w:numFmt w:val="bullet"/>
      <w:lvlRestart w:val="0"/>
      <w:lvlText w:val="+"/>
      <w:lvlJc w:val="left"/>
      <w:pPr>
        <w:ind w:left="360" w:firstLine="0"/>
      </w:pPr>
      <w:rPr>
        <w:rFonts w:ascii="Arial" w:hAnsi="Arial" w:cs="Arial" w:hint="default"/>
        <w:b w:val="0"/>
        <w:i w:val="0"/>
        <w:sz w:val="20"/>
      </w:rPr>
    </w:lvl>
    <w:lvl w:ilvl="1" w:tplc="4D2C233A" w:tentative="1">
      <w:start w:val="1"/>
      <w:numFmt w:val="bullet"/>
      <w:lvlText w:val="o"/>
      <w:lvlJc w:val="left"/>
      <w:pPr>
        <w:ind w:left="1800" w:hanging="360"/>
      </w:pPr>
      <w:rPr>
        <w:rFonts w:ascii="Courier New" w:hAnsi="Courier New" w:cs="Courier New" w:hint="default"/>
        <w:b w:val="0"/>
        <w:i w:val="0"/>
        <w:sz w:val="20"/>
      </w:rPr>
    </w:lvl>
    <w:lvl w:ilvl="2" w:tplc="8BC20C4C" w:tentative="1">
      <w:start w:val="1"/>
      <w:numFmt w:val="bullet"/>
      <w:lvlText w:val=""/>
      <w:lvlJc w:val="left"/>
      <w:pPr>
        <w:ind w:left="2520" w:hanging="360"/>
      </w:pPr>
      <w:rPr>
        <w:rFonts w:ascii="Wingdings" w:hAnsi="Wingdings" w:hint="default"/>
        <w:b w:val="0"/>
        <w:i w:val="0"/>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8B"/>
    <w:rsid w:val="00050C59"/>
    <w:rsid w:val="002A5D50"/>
    <w:rsid w:val="00336FC0"/>
    <w:rsid w:val="0040447A"/>
    <w:rsid w:val="005A638B"/>
    <w:rsid w:val="005E3567"/>
    <w:rsid w:val="007E033C"/>
    <w:rsid w:val="00B22683"/>
    <w:rsid w:val="00B933EF"/>
    <w:rsid w:val="00C717F2"/>
    <w:rsid w:val="00D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D7FD3"/>
  <w15:docId w15:val="{2E13A16B-E44A-491A-BE94-84046A26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F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360" w:lineRule="auto"/>
      <w:ind w:left="5360" w:hanging="2470"/>
    </w:pPr>
    <w:rPr>
      <w:rFonts w:ascii="Times New Roman" w:eastAsia="Times New Roman" w:hAnsi="Times New Roman" w:cs="Times New Roman"/>
      <w:b/>
      <w:bCs/>
      <w:sz w:val="22"/>
      <w:szCs w:val="22"/>
    </w:rPr>
  </w:style>
  <w:style w:type="paragraph" w:customStyle="1" w:styleId="Heading10">
    <w:name w:val="Heading #1"/>
    <w:basedOn w:val="Normal"/>
    <w:link w:val="Heading1"/>
    <w:pPr>
      <w:spacing w:line="276" w:lineRule="auto"/>
      <w:ind w:left="1750"/>
      <w:jc w:val="center"/>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pPr>
      <w:ind w:left="170" w:hanging="17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2024-01-26T03:10:00Z</dcterms:created>
  <dcterms:modified xsi:type="dcterms:W3CDTF">2024-01-26T03:10:00Z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74a6e3b7c7e6a0f211382430e2468d3f49c562a423db36f7abbcf869bbdc9804</vt:lpwstr>
  </property>
</Properties>
</file>