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2A3B" w14:textId="77777777" w:rsidR="004D32ED" w:rsidRPr="00957B73" w:rsidRDefault="00287B05" w:rsidP="00D91A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57B73">
        <w:rPr>
          <w:rFonts w:ascii="Arial" w:hAnsi="Arial" w:cs="Arial"/>
          <w:b/>
          <w:color w:val="010000"/>
          <w:sz w:val="20"/>
        </w:rPr>
        <w:t>SEB: Board Resolution</w:t>
      </w:r>
    </w:p>
    <w:p w14:paraId="4CAEFC90" w14:textId="77777777" w:rsidR="004D32ED" w:rsidRPr="00957B73" w:rsidRDefault="00287B05" w:rsidP="00D91A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 xml:space="preserve">On January 23, 2024, Mien </w:t>
      </w:r>
      <w:proofErr w:type="spellStart"/>
      <w:r w:rsidRPr="00957B73">
        <w:rPr>
          <w:rFonts w:ascii="Arial" w:hAnsi="Arial" w:cs="Arial"/>
          <w:color w:val="010000"/>
          <w:sz w:val="20"/>
        </w:rPr>
        <w:t>Trung</w:t>
      </w:r>
      <w:proofErr w:type="spellEnd"/>
      <w:r w:rsidRPr="00957B73">
        <w:rPr>
          <w:rFonts w:ascii="Arial" w:hAnsi="Arial" w:cs="Arial"/>
          <w:color w:val="010000"/>
          <w:sz w:val="20"/>
        </w:rPr>
        <w:t xml:space="preserve"> Power Investment and Development JSC announced Resolution No. 20/CT/HDQT as follows:</w:t>
      </w:r>
    </w:p>
    <w:p w14:paraId="701C0610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‎‎Article 1. The Board of Directors approves the production and business results in 2023 and the production and business plan for 2024 with the following main targets:</w:t>
      </w:r>
    </w:p>
    <w:p w14:paraId="7E218746" w14:textId="77777777" w:rsidR="004D32ED" w:rsidRPr="00957B73" w:rsidRDefault="00287B05" w:rsidP="007D6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Production and business results in 2023 (Holding Company):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3388"/>
        <w:gridCol w:w="1757"/>
        <w:gridCol w:w="1703"/>
        <w:gridCol w:w="1537"/>
      </w:tblGrid>
      <w:tr w:rsidR="004D32ED" w:rsidRPr="00957B73" w14:paraId="0EB725C3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F852F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468B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046F7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F7755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1A642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Rate (%) of the Annual plan</w:t>
            </w:r>
          </w:p>
          <w:p w14:paraId="6EB41C86" w14:textId="77777777" w:rsidR="004D32ED" w:rsidRPr="00957B73" w:rsidRDefault="004D32ED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0AE88950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05EAB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C7BC6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Commercial power output (million kWh)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51081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154.43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6F9D5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115.00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B397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134.29</w:t>
            </w:r>
          </w:p>
        </w:tc>
      </w:tr>
      <w:tr w:rsidR="004D32ED" w:rsidRPr="00957B73" w14:paraId="56767AC4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877F0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DFCAB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2F4BA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227.16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35DC9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191.05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B62B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118.90</w:t>
            </w:r>
          </w:p>
        </w:tc>
      </w:tr>
      <w:tr w:rsidR="004D32ED" w:rsidRPr="00957B73" w14:paraId="35205831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0A7AB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D0544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Revenue from electricity sales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FD9BE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187.22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13845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154.02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89EC9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121.55</w:t>
            </w:r>
          </w:p>
        </w:tc>
      </w:tr>
      <w:tr w:rsidR="004D32ED" w:rsidRPr="00957B73" w14:paraId="77243DFB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41B1B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0A357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Financial activities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713DB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5.47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1647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3.00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1400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182.49</w:t>
            </w:r>
          </w:p>
        </w:tc>
      </w:tr>
      <w:tr w:rsidR="004D32ED" w:rsidRPr="00957B73" w14:paraId="43B27BDF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ABB4C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028DA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957B73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957B7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57B73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957B73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C0FA9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34.03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7F6A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34.03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1E81D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4D32ED" w:rsidRPr="00957B73" w14:paraId="7D2DFEB5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703F6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FC811" w14:textId="51F69E36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Other incomes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AE38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0.44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7AA74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2FA02" w14:textId="77777777" w:rsidR="004D32ED" w:rsidRPr="00957B73" w:rsidRDefault="004D32ED" w:rsidP="00166C0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5B438AF1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159BE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CAEC2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90F0F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173.82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39055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142.98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4FDA5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121.57</w:t>
            </w:r>
          </w:p>
        </w:tc>
      </w:tr>
      <w:tr w:rsidR="004D32ED" w:rsidRPr="00957B73" w14:paraId="7D06A36D" w14:textId="77777777" w:rsidTr="007D6E96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61DE3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55B3E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Profit after tax (billion VND)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A21D5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145.18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0A6B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120.76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8BF7A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120.22</w:t>
            </w:r>
          </w:p>
        </w:tc>
      </w:tr>
    </w:tbl>
    <w:p w14:paraId="02B89366" w14:textId="77777777" w:rsidR="004D32ED" w:rsidRPr="00957B73" w:rsidRDefault="00287B05" w:rsidP="007D6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Production and business plan in 2024 (Holding Company):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8"/>
        <w:gridCol w:w="3903"/>
        <w:gridCol w:w="1925"/>
        <w:gridCol w:w="2563"/>
      </w:tblGrid>
      <w:tr w:rsidR="004D32ED" w:rsidRPr="00957B73" w14:paraId="40721840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B5AD6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8B915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1366A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16DE8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D32ED" w:rsidRPr="00957B73" w14:paraId="27587D25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92737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24C44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Commercial power output (million kWh)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473BD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110.00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90BD9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4DA2C1F2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5AAD8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7CF00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D051F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187.52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A5319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432A00F7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72EE9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FA438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Revenue from electricity sales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BD0B0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150.50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1A955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7B1B69DF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3CA77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AFCB1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Financial activities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CD463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3.00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CBBBF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407BCAA4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987E5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F4E03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957B73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957B7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57B73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957B73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7932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34.03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3E2B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15A9BEC3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9D94E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7C79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Other revenue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E0074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43B75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200E92AE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80EB7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94E15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Expenses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5600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48.46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1FC08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2B827669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DD388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8FCB3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30EE8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139.06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FB6BD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D32ED" w:rsidRPr="00957B73" w14:paraId="3766EC0C" w14:textId="77777777" w:rsidTr="00166C09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55676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2CF2D" w14:textId="77777777" w:rsidR="004D32ED" w:rsidRPr="00957B73" w:rsidRDefault="00287B05" w:rsidP="007D6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Profit after tax (billion VND)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2B0CF" w14:textId="77777777" w:rsidR="004D32ED" w:rsidRPr="00957B73" w:rsidRDefault="00287B05" w:rsidP="0016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57B73">
              <w:rPr>
                <w:rFonts w:ascii="Arial" w:hAnsi="Arial" w:cs="Arial"/>
                <w:color w:val="010000"/>
                <w:sz w:val="20"/>
              </w:rPr>
              <w:t>118.10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5EFA2" w14:textId="77777777" w:rsidR="004D32ED" w:rsidRPr="00957B73" w:rsidRDefault="004D32ED" w:rsidP="007D6E9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7A6C2B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 xml:space="preserve">‎‎Article 2. Approve the organization time of the Annual General Meeting of Shareholders 2024 in April </w:t>
      </w:r>
      <w:r w:rsidRPr="00957B73">
        <w:rPr>
          <w:rFonts w:ascii="Arial" w:hAnsi="Arial" w:cs="Arial"/>
          <w:color w:val="010000"/>
          <w:sz w:val="20"/>
        </w:rPr>
        <w:lastRenderedPageBreak/>
        <w:t xml:space="preserve">2024; assign the Company’s General Manager to prepare the </w:t>
      </w:r>
      <w:bookmarkStart w:id="0" w:name="_GoBack"/>
      <w:r w:rsidRPr="00957B73">
        <w:rPr>
          <w:rFonts w:ascii="Arial" w:hAnsi="Arial" w:cs="Arial"/>
          <w:color w:val="010000"/>
          <w:sz w:val="20"/>
        </w:rPr>
        <w:t>procedures for the record list of shareholders attending the Annual General Meeting of Shareholders 2024 and its documents as per regulations.</w:t>
      </w:r>
    </w:p>
    <w:p w14:paraId="2D945F00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 xml:space="preserve">Article 3. Approve operational expenses in 2024 of the Company with the amount of VND 18,741,691,000. </w:t>
      </w:r>
    </w:p>
    <w:p w14:paraId="300D5161" w14:textId="19D0ABA5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57B73">
        <w:rPr>
          <w:rFonts w:ascii="Arial" w:hAnsi="Arial" w:cs="Arial"/>
          <w:color w:val="010000"/>
          <w:sz w:val="20"/>
        </w:rPr>
        <w:t xml:space="preserve">‎‎Article 4. Approve the policy on buying </w:t>
      </w:r>
      <w:r w:rsidR="00863E16">
        <w:rPr>
          <w:rFonts w:ascii="Arial" w:hAnsi="Arial" w:cs="Arial"/>
          <w:color w:val="010000"/>
          <w:sz w:val="20"/>
        </w:rPr>
        <w:t>a</w:t>
      </w:r>
      <w:r w:rsidRPr="00957B73">
        <w:rPr>
          <w:rFonts w:ascii="Arial" w:hAnsi="Arial" w:cs="Arial"/>
          <w:color w:val="010000"/>
          <w:sz w:val="20"/>
        </w:rPr>
        <w:t xml:space="preserve"> car for work pursuant to the content of Proposal No. 11 CT/HCTH dated January 15, 2024 of the Company’s General Manager.</w:t>
      </w:r>
    </w:p>
    <w:p w14:paraId="09F7C092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‎‎Article 5. Approve the rewards for completing the 2023 Plan as per Proposal No. 12 CT/HCTH dated January 15, 2024 of the Company’s General Manager.</w:t>
      </w:r>
    </w:p>
    <w:p w14:paraId="00A35BB6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‎‎Article 6. The Board of Directors assigns the General Manager as the legal representative of the Company to be responsible for implementing the above contents in accordance with current regulations.</w:t>
      </w:r>
    </w:p>
    <w:p w14:paraId="16021136" w14:textId="77777777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‎‎Article 7. This Resolution takes effect from the date of signing.</w:t>
      </w:r>
    </w:p>
    <w:p w14:paraId="685B1204" w14:textId="433A8DA6" w:rsidR="004D32ED" w:rsidRPr="00957B73" w:rsidRDefault="00287B05" w:rsidP="00D91A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7B73">
        <w:rPr>
          <w:rFonts w:ascii="Arial" w:hAnsi="Arial" w:cs="Arial"/>
          <w:color w:val="010000"/>
          <w:sz w:val="20"/>
        </w:rPr>
        <w:t>The General Manager, the Deputy General Manager, the Chief Accountant and related functional departments are responsible for implementing this Resolution.</w:t>
      </w:r>
      <w:bookmarkEnd w:id="0"/>
    </w:p>
    <w:sectPr w:rsidR="004D32ED" w:rsidRPr="00957B73" w:rsidSect="007D6E9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2A00"/>
    <w:multiLevelType w:val="multilevel"/>
    <w:tmpl w:val="69EC10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D"/>
    <w:rsid w:val="00166C09"/>
    <w:rsid w:val="00287B05"/>
    <w:rsid w:val="004D32ED"/>
    <w:rsid w:val="007D6E96"/>
    <w:rsid w:val="00863E16"/>
    <w:rsid w:val="00957B73"/>
    <w:rsid w:val="00D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A4882"/>
  <w15:docId w15:val="{D16B70E1-AC47-428F-8B68-CB56424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14578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C22550"/>
      <w:sz w:val="36"/>
      <w:szCs w:val="3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</w:pPr>
    <w:rPr>
      <w:rFonts w:ascii="Arial" w:eastAsia="Arial" w:hAnsi="Arial" w:cs="Arial"/>
      <w:color w:val="E14578"/>
      <w:sz w:val="15"/>
      <w:szCs w:val="15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90" w:lineRule="auto"/>
      <w:ind w:left="9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1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50">
    <w:name w:val="Văn bản nội dung (5)"/>
    <w:basedOn w:val="Normal"/>
    <w:link w:val="Vnbnnidung5"/>
    <w:pPr>
      <w:ind w:left="3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ind w:left="7760"/>
    </w:pPr>
    <w:rPr>
      <w:rFonts w:ascii="Arial" w:eastAsia="Arial" w:hAnsi="Arial" w:cs="Arial"/>
      <w:color w:val="C2255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Q641O4epRTZaqW7ew5Cb67IoTQ==">CgMxLjAyCGguZ2pkZ3hzOAByITFuNFgwb18zR0VHM1F3MDdIS3VZQ0IzVVpBdFRaWnhKUQ==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6</cp:revision>
  <dcterms:created xsi:type="dcterms:W3CDTF">2024-01-25T03:30:00Z</dcterms:created>
  <dcterms:modified xsi:type="dcterms:W3CDTF">2024-01-26T04:06:00Z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e746e1932bfed8d20e9b88fc04c6898e231e151809be73947010521a63fd7c33</vt:lpwstr>
  </property>
</Properties>
</file>