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35D2B" w14:textId="60C1B596" w:rsidR="001B766E" w:rsidRPr="00650FAD" w:rsidRDefault="001B766E" w:rsidP="00994B9D">
      <w:pPr>
        <w:pStyle w:val="BodyText"/>
        <w:tabs>
          <w:tab w:val="left" w:pos="432"/>
          <w:tab w:val="left" w:pos="4612"/>
        </w:tabs>
        <w:spacing w:after="120" w:line="360" w:lineRule="auto"/>
        <w:ind w:firstLine="0"/>
        <w:rPr>
          <w:rFonts w:ascii="Arial" w:hAnsi="Arial" w:cs="Arial"/>
          <w:b/>
          <w:color w:val="010000"/>
          <w:sz w:val="20"/>
          <w:szCs w:val="24"/>
        </w:rPr>
      </w:pPr>
      <w:bookmarkStart w:id="0" w:name="_GoBack"/>
      <w:bookmarkEnd w:id="0"/>
      <w:r w:rsidRPr="00650FAD">
        <w:rPr>
          <w:rFonts w:ascii="Arial" w:hAnsi="Arial" w:cs="Arial"/>
          <w:b/>
          <w:color w:val="010000"/>
          <w:sz w:val="20"/>
        </w:rPr>
        <w:t>SPV: Board Resolution</w:t>
      </w:r>
    </w:p>
    <w:p w14:paraId="695F0302" w14:textId="78C90D25" w:rsidR="00247DD6" w:rsidRPr="00650FAD" w:rsidRDefault="003D5A93" w:rsidP="00994B9D">
      <w:pPr>
        <w:pStyle w:val="BodyText"/>
        <w:tabs>
          <w:tab w:val="left" w:pos="432"/>
        </w:tabs>
        <w:spacing w:after="120" w:line="360" w:lineRule="auto"/>
        <w:ind w:firstLine="0"/>
        <w:rPr>
          <w:rFonts w:ascii="Arial" w:hAnsi="Arial" w:cs="Arial"/>
          <w:color w:val="010000"/>
          <w:sz w:val="20"/>
        </w:rPr>
      </w:pPr>
      <w:r w:rsidRPr="00650FAD">
        <w:rPr>
          <w:rFonts w:ascii="Arial" w:hAnsi="Arial" w:cs="Arial"/>
          <w:color w:val="010000"/>
          <w:sz w:val="20"/>
        </w:rPr>
        <w:t>On January 22, 2024, Special Aquatic Products Joint Stock Company announced Resolution No. 01/NQ-TDS-HDQT on approving a number of contents of the regular Board of Directors meeting on January 22, 2024 as follows:</w:t>
      </w:r>
    </w:p>
    <w:p w14:paraId="7D035C6F" w14:textId="77777777" w:rsidR="00247DD6" w:rsidRPr="00650FAD" w:rsidRDefault="00927490" w:rsidP="00994B9D">
      <w:pPr>
        <w:pStyle w:val="BodyText"/>
        <w:tabs>
          <w:tab w:val="left" w:pos="432"/>
        </w:tabs>
        <w:spacing w:after="120" w:line="360" w:lineRule="auto"/>
        <w:ind w:firstLine="0"/>
        <w:rPr>
          <w:rFonts w:ascii="Arial" w:hAnsi="Arial" w:cs="Arial"/>
          <w:color w:val="010000"/>
          <w:sz w:val="20"/>
        </w:rPr>
      </w:pPr>
      <w:r w:rsidRPr="00650FAD">
        <w:rPr>
          <w:rFonts w:ascii="Arial" w:hAnsi="Arial" w:cs="Arial"/>
          <w:color w:val="010000"/>
          <w:sz w:val="20"/>
        </w:rPr>
        <w:t>‎‎Article 1. Approved some contents of the regular meeting of the Board of Directors on January 22, 2024 as follows:</w:t>
      </w:r>
    </w:p>
    <w:p w14:paraId="04FE0012" w14:textId="77777777" w:rsidR="00247DD6" w:rsidRPr="00650FAD" w:rsidRDefault="00927490" w:rsidP="00994B9D">
      <w:pPr>
        <w:pStyle w:val="BodyText"/>
        <w:numPr>
          <w:ilvl w:val="0"/>
          <w:numId w:val="2"/>
        </w:numPr>
        <w:tabs>
          <w:tab w:val="left" w:pos="432"/>
          <w:tab w:val="left" w:pos="1057"/>
        </w:tabs>
        <w:spacing w:after="120" w:line="360" w:lineRule="auto"/>
        <w:ind w:firstLine="0"/>
        <w:rPr>
          <w:rFonts w:ascii="Arial" w:hAnsi="Arial" w:cs="Arial"/>
          <w:color w:val="010000"/>
          <w:sz w:val="20"/>
        </w:rPr>
      </w:pPr>
      <w:r w:rsidRPr="00650FAD">
        <w:rPr>
          <w:rFonts w:ascii="Arial" w:hAnsi="Arial" w:cs="Arial"/>
          <w:color w:val="010000"/>
          <w:sz w:val="20"/>
        </w:rPr>
        <w:t>Report No. 18/BC-TDS-TGD dated January 14, 2024 of the Board of Management on production and business results in 2023 and the Company's 2024 Plan.</w:t>
      </w:r>
    </w:p>
    <w:p w14:paraId="1F555BD4" w14:textId="77777777" w:rsidR="00247DD6" w:rsidRPr="00650FAD" w:rsidRDefault="00927490" w:rsidP="00994B9D">
      <w:pPr>
        <w:pStyle w:val="BodyText"/>
        <w:numPr>
          <w:ilvl w:val="1"/>
          <w:numId w:val="2"/>
        </w:numPr>
        <w:tabs>
          <w:tab w:val="left" w:pos="432"/>
          <w:tab w:val="left" w:pos="1176"/>
        </w:tabs>
        <w:spacing w:after="120" w:line="360" w:lineRule="auto"/>
        <w:ind w:firstLine="0"/>
        <w:rPr>
          <w:rFonts w:ascii="Arial" w:hAnsi="Arial" w:cs="Arial"/>
          <w:color w:val="010000"/>
          <w:sz w:val="20"/>
        </w:rPr>
      </w:pPr>
      <w:r w:rsidRPr="00650FAD">
        <w:rPr>
          <w:rFonts w:ascii="Arial" w:hAnsi="Arial" w:cs="Arial"/>
          <w:color w:val="010000"/>
          <w:sz w:val="20"/>
        </w:rPr>
        <w:t>Approve production and business results in 2023 (report data before audit) as follows:</w:t>
      </w:r>
    </w:p>
    <w:p w14:paraId="28B08AB7" w14:textId="77777777" w:rsidR="00247DD6" w:rsidRPr="00650FAD" w:rsidRDefault="00927490" w:rsidP="00994B9D">
      <w:pPr>
        <w:pStyle w:val="BodyText"/>
        <w:numPr>
          <w:ilvl w:val="0"/>
          <w:numId w:val="1"/>
        </w:numPr>
        <w:tabs>
          <w:tab w:val="left" w:pos="432"/>
          <w:tab w:val="left" w:pos="985"/>
        </w:tabs>
        <w:spacing w:after="120" w:line="360" w:lineRule="auto"/>
        <w:ind w:firstLine="0"/>
        <w:rPr>
          <w:rFonts w:ascii="Arial" w:hAnsi="Arial" w:cs="Arial"/>
          <w:color w:val="010000"/>
          <w:sz w:val="20"/>
        </w:rPr>
      </w:pPr>
      <w:r w:rsidRPr="00650FAD">
        <w:rPr>
          <w:rFonts w:ascii="Arial" w:hAnsi="Arial" w:cs="Arial"/>
          <w:color w:val="010000"/>
          <w:sz w:val="20"/>
        </w:rPr>
        <w:t>Revenue: VND 447.91 billion</w:t>
      </w:r>
    </w:p>
    <w:p w14:paraId="17C658E3" w14:textId="77777777" w:rsidR="00247DD6" w:rsidRPr="00650FAD" w:rsidRDefault="00927490" w:rsidP="00994B9D">
      <w:pPr>
        <w:pStyle w:val="BodyText"/>
        <w:numPr>
          <w:ilvl w:val="0"/>
          <w:numId w:val="1"/>
        </w:numPr>
        <w:tabs>
          <w:tab w:val="left" w:pos="432"/>
          <w:tab w:val="left" w:pos="985"/>
        </w:tabs>
        <w:spacing w:after="120" w:line="360" w:lineRule="auto"/>
        <w:ind w:firstLine="0"/>
        <w:rPr>
          <w:rFonts w:ascii="Arial" w:hAnsi="Arial" w:cs="Arial"/>
          <w:color w:val="010000"/>
          <w:sz w:val="20"/>
        </w:rPr>
      </w:pPr>
      <w:r w:rsidRPr="00650FAD">
        <w:rPr>
          <w:rFonts w:ascii="Arial" w:hAnsi="Arial" w:cs="Arial"/>
          <w:color w:val="010000"/>
          <w:sz w:val="20"/>
        </w:rPr>
        <w:t>Profit before tax: VND 23.37 billion</w:t>
      </w:r>
    </w:p>
    <w:p w14:paraId="2F4CBE1A" w14:textId="77777777" w:rsidR="00247DD6" w:rsidRPr="00650FAD" w:rsidRDefault="00927490" w:rsidP="00994B9D">
      <w:pPr>
        <w:pStyle w:val="BodyText"/>
        <w:numPr>
          <w:ilvl w:val="1"/>
          <w:numId w:val="2"/>
        </w:numPr>
        <w:tabs>
          <w:tab w:val="left" w:pos="432"/>
          <w:tab w:val="left" w:pos="1194"/>
        </w:tabs>
        <w:spacing w:after="120" w:line="360" w:lineRule="auto"/>
        <w:ind w:firstLine="0"/>
        <w:rPr>
          <w:rFonts w:ascii="Arial" w:hAnsi="Arial" w:cs="Arial"/>
          <w:color w:val="010000"/>
          <w:sz w:val="20"/>
        </w:rPr>
      </w:pPr>
      <w:r w:rsidRPr="00650FAD">
        <w:rPr>
          <w:rFonts w:ascii="Arial" w:hAnsi="Arial" w:cs="Arial"/>
          <w:color w:val="010000"/>
          <w:sz w:val="20"/>
        </w:rPr>
        <w:t>Approve the 2024 Plan as follows:</w:t>
      </w:r>
    </w:p>
    <w:p w14:paraId="2E25C9C8" w14:textId="77777777" w:rsidR="00247DD6" w:rsidRPr="00650FAD" w:rsidRDefault="00927490" w:rsidP="00994B9D">
      <w:pPr>
        <w:pStyle w:val="BodyText"/>
        <w:numPr>
          <w:ilvl w:val="0"/>
          <w:numId w:val="1"/>
        </w:numPr>
        <w:tabs>
          <w:tab w:val="left" w:pos="432"/>
          <w:tab w:val="left" w:pos="985"/>
        </w:tabs>
        <w:spacing w:after="120" w:line="360" w:lineRule="auto"/>
        <w:ind w:firstLine="0"/>
        <w:rPr>
          <w:rFonts w:ascii="Arial" w:hAnsi="Arial" w:cs="Arial"/>
          <w:color w:val="010000"/>
          <w:sz w:val="20"/>
        </w:rPr>
      </w:pPr>
      <w:r w:rsidRPr="00650FAD">
        <w:rPr>
          <w:rFonts w:ascii="Arial" w:hAnsi="Arial" w:cs="Arial"/>
          <w:color w:val="010000"/>
          <w:sz w:val="20"/>
        </w:rPr>
        <w:t>Revenue: VND 450 billion</w:t>
      </w:r>
    </w:p>
    <w:p w14:paraId="7ABACB6E" w14:textId="77777777" w:rsidR="00247DD6" w:rsidRPr="00650FAD" w:rsidRDefault="00927490" w:rsidP="00994B9D">
      <w:pPr>
        <w:pStyle w:val="BodyText"/>
        <w:numPr>
          <w:ilvl w:val="0"/>
          <w:numId w:val="1"/>
        </w:numPr>
        <w:tabs>
          <w:tab w:val="left" w:pos="432"/>
          <w:tab w:val="left" w:pos="985"/>
        </w:tabs>
        <w:spacing w:after="120" w:line="360" w:lineRule="auto"/>
        <w:ind w:firstLine="0"/>
        <w:rPr>
          <w:rFonts w:ascii="Arial" w:hAnsi="Arial" w:cs="Arial"/>
          <w:color w:val="010000"/>
          <w:sz w:val="20"/>
        </w:rPr>
      </w:pPr>
      <w:r w:rsidRPr="00650FAD">
        <w:rPr>
          <w:rFonts w:ascii="Arial" w:hAnsi="Arial" w:cs="Arial"/>
          <w:color w:val="010000"/>
          <w:sz w:val="20"/>
        </w:rPr>
        <w:t>Profit before tax: VND 22 billion</w:t>
      </w:r>
    </w:p>
    <w:p w14:paraId="6B1B29A1" w14:textId="77777777" w:rsidR="00247DD6" w:rsidRPr="00650FAD" w:rsidRDefault="00927490" w:rsidP="00994B9D">
      <w:pPr>
        <w:pStyle w:val="BodyText"/>
        <w:numPr>
          <w:ilvl w:val="0"/>
          <w:numId w:val="2"/>
        </w:numPr>
        <w:tabs>
          <w:tab w:val="left" w:pos="432"/>
          <w:tab w:val="left" w:pos="1060"/>
        </w:tabs>
        <w:spacing w:after="120" w:line="360" w:lineRule="auto"/>
        <w:ind w:firstLine="0"/>
        <w:rPr>
          <w:rFonts w:ascii="Arial" w:hAnsi="Arial" w:cs="Arial"/>
          <w:color w:val="010000"/>
          <w:sz w:val="20"/>
        </w:rPr>
      </w:pPr>
      <w:r w:rsidRPr="00650FAD">
        <w:rPr>
          <w:rFonts w:ascii="Arial" w:hAnsi="Arial" w:cs="Arial"/>
          <w:color w:val="010000"/>
          <w:sz w:val="20"/>
        </w:rPr>
        <w:t>Proposal No. 04/TTr-TDS-HDQT dated January 16, 2024 of the Chair of the Board of Directors on approving the submission content and venue of the General Meeting of Shareholders 2024:</w:t>
      </w:r>
    </w:p>
    <w:p w14:paraId="0C18EA45" w14:textId="77777777" w:rsidR="00247DD6" w:rsidRPr="00650FAD" w:rsidRDefault="00927490" w:rsidP="00994B9D">
      <w:pPr>
        <w:pStyle w:val="BodyText"/>
        <w:tabs>
          <w:tab w:val="left" w:pos="432"/>
        </w:tabs>
        <w:spacing w:after="120" w:line="360" w:lineRule="auto"/>
        <w:ind w:firstLine="0"/>
        <w:rPr>
          <w:rFonts w:ascii="Arial" w:hAnsi="Arial" w:cs="Arial"/>
          <w:color w:val="010000"/>
          <w:sz w:val="20"/>
        </w:rPr>
      </w:pPr>
      <w:r w:rsidRPr="00650FAD">
        <w:rPr>
          <w:rFonts w:ascii="Arial" w:hAnsi="Arial" w:cs="Arial"/>
          <w:color w:val="010000"/>
          <w:sz w:val="20"/>
        </w:rPr>
        <w:t>Agreed to approve according to the content of the Proposal. The Board of Management shall soon prepare detailed documents of the General Meeting to submit to the Board of Directors for approval at the quarterly meeting held in March 2024 to present to the General Meeting of Shareholders.</w:t>
      </w:r>
    </w:p>
    <w:p w14:paraId="32E01862" w14:textId="77777777" w:rsidR="00247DD6" w:rsidRPr="00650FAD" w:rsidRDefault="00927490" w:rsidP="00994B9D">
      <w:pPr>
        <w:pStyle w:val="BodyText"/>
        <w:tabs>
          <w:tab w:val="left" w:pos="432"/>
        </w:tabs>
        <w:spacing w:after="120" w:line="360" w:lineRule="auto"/>
        <w:ind w:firstLine="0"/>
        <w:rPr>
          <w:rFonts w:ascii="Arial" w:hAnsi="Arial" w:cs="Arial"/>
          <w:color w:val="010000"/>
          <w:sz w:val="20"/>
        </w:rPr>
      </w:pPr>
      <w:r w:rsidRPr="00650FAD">
        <w:rPr>
          <w:rFonts w:ascii="Arial" w:hAnsi="Arial" w:cs="Arial"/>
          <w:color w:val="010000"/>
          <w:sz w:val="20"/>
        </w:rPr>
        <w:t>‎‎Article 2. This Resolution takes effect from the date of its signing. The Board of Directors, the Board of Management of Special Aquatic Products Joint Stock Company and relevant departments are responsible for implementing this Resolution.</w:t>
      </w:r>
    </w:p>
    <w:sectPr w:rsidR="00247DD6" w:rsidRPr="00650FAD" w:rsidSect="00994B9D">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F67E5" w14:textId="77777777" w:rsidR="0018313D" w:rsidRDefault="0018313D">
      <w:r>
        <w:separator/>
      </w:r>
    </w:p>
  </w:endnote>
  <w:endnote w:type="continuationSeparator" w:id="0">
    <w:p w14:paraId="6658B351" w14:textId="77777777" w:rsidR="0018313D" w:rsidRDefault="001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1B1F" w14:textId="77777777" w:rsidR="0018313D" w:rsidRDefault="0018313D"/>
  </w:footnote>
  <w:footnote w:type="continuationSeparator" w:id="0">
    <w:p w14:paraId="4FB5FC73" w14:textId="77777777" w:rsidR="0018313D" w:rsidRDefault="001831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2489"/>
    <w:multiLevelType w:val="multilevel"/>
    <w:tmpl w:val="D2CEA786"/>
    <w:lvl w:ilvl="0">
      <w:start w:val="1"/>
      <w:numFmt w:val="decimal"/>
      <w:lvlText w:val="%1."/>
      <w:lvlJc w:val="left"/>
      <w:rPr>
        <w:rFonts w:ascii="Arial" w:eastAsia="Times New Roman" w:hAnsi="Arial" w:cs="Arial"/>
        <w:b w:val="0"/>
        <w:bCs w:val="0"/>
        <w:i w:val="0"/>
        <w:iCs/>
        <w:smallCaps w:val="0"/>
        <w:strike w:val="0"/>
        <w:color w:val="000000"/>
        <w:spacing w:val="0"/>
        <w:w w:val="100"/>
        <w:position w:val="0"/>
        <w:sz w:val="20"/>
        <w:szCs w:val="26"/>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C5A3D"/>
    <w:multiLevelType w:val="multilevel"/>
    <w:tmpl w:val="6378795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D6"/>
    <w:rsid w:val="000C5F7F"/>
    <w:rsid w:val="0018313D"/>
    <w:rsid w:val="001B766E"/>
    <w:rsid w:val="00247DD6"/>
    <w:rsid w:val="003D5A93"/>
    <w:rsid w:val="00545093"/>
    <w:rsid w:val="00650FAD"/>
    <w:rsid w:val="006B5A90"/>
    <w:rsid w:val="00927490"/>
    <w:rsid w:val="00994B9D"/>
    <w:rsid w:val="00E63B78"/>
    <w:rsid w:val="00E9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C68FC"/>
  <w15:docId w15:val="{2E13A16B-E44A-491A-BE94-84046A26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2024-01-26T03:12:00Z</dcterms:created>
  <dcterms:modified xsi:type="dcterms:W3CDTF">2024-01-26T03:12:00Z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50b0797e034822d1ae1da7f541ae3b61d3075ccb648401b8d212239eeb885607</vt:lpwstr>
  </property>
</Properties>
</file>