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AD878" w14:textId="77777777" w:rsidR="004B173C" w:rsidRPr="000251E9" w:rsidRDefault="0085021C" w:rsidP="0069232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09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VUA: Annual Corporate Governance Report 2023</w:t>
      </w:r>
    </w:p>
    <w:p w14:paraId="733F5BF7" w14:textId="579859C1" w:rsidR="004B173C" w:rsidRPr="000251E9" w:rsidRDefault="0085021C" w:rsidP="0069232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0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22, 2024, Stanley Brothers Securities Incorporation announced Report No. 26/2024/CV-SBSI on the corporate governance 2023 as follows:</w:t>
      </w:r>
    </w:p>
    <w:p w14:paraId="60B813E8" w14:textId="77777777" w:rsidR="004B173C" w:rsidRPr="000251E9" w:rsidRDefault="0085021C" w:rsidP="006923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company: Stanley Brothers Securities Incorporation</w:t>
      </w:r>
    </w:p>
    <w:p w14:paraId="10E08AD1" w14:textId="61E3B05B" w:rsidR="004B173C" w:rsidRPr="000251E9" w:rsidRDefault="0085021C" w:rsidP="006923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Headquarters address: 9 Floor, TNR</w:t>
      </w:r>
      <w:r w:rsidR="00692320">
        <w:rPr>
          <w:rFonts w:ascii="Arial" w:hAnsi="Arial"/>
          <w:color w:val="010000"/>
          <w:sz w:val="20"/>
        </w:rPr>
        <w:t xml:space="preserve"> Holding, 54A Nguyen Chi Thanh Street, Lang Thuong Ward, Dong Da District, Han</w:t>
      </w:r>
      <w:r>
        <w:rPr>
          <w:rFonts w:ascii="Arial" w:hAnsi="Arial"/>
          <w:color w:val="010000"/>
          <w:sz w:val="20"/>
        </w:rPr>
        <w:t>oi</w:t>
      </w:r>
    </w:p>
    <w:p w14:paraId="113A3E1C" w14:textId="77777777" w:rsidR="004B173C" w:rsidRPr="000251E9" w:rsidRDefault="0085021C" w:rsidP="006923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Tel: (+84) 24 3377 6699 Fax: (+84) 24 3373 6699  Email: </w:t>
      </w:r>
      <w:hyperlink r:id="rId6">
        <w:r>
          <w:rPr>
            <w:rFonts w:ascii="Arial" w:hAnsi="Arial"/>
            <w:color w:val="010000"/>
            <w:sz w:val="20"/>
          </w:rPr>
          <w:t>info@sbsi.vn</w:t>
        </w:r>
      </w:hyperlink>
    </w:p>
    <w:p w14:paraId="026D64E8" w14:textId="77777777" w:rsidR="004B173C" w:rsidRPr="000251E9" w:rsidRDefault="0085021C" w:rsidP="006923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Charter capital: </w:t>
      </w:r>
      <w:r>
        <w:rPr>
          <w:rFonts w:ascii="Arial" w:hAnsi="Arial"/>
          <w:color w:val="010000"/>
          <w:sz w:val="20"/>
        </w:rPr>
        <w:t>VND 339,000,000,000</w:t>
      </w:r>
    </w:p>
    <w:p w14:paraId="39C4DC9E" w14:textId="77777777" w:rsidR="004B173C" w:rsidRPr="000251E9" w:rsidRDefault="0085021C" w:rsidP="006923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VUA</w:t>
      </w:r>
    </w:p>
    <w:p w14:paraId="5050660D" w14:textId="7C4E3809" w:rsidR="004B173C" w:rsidRPr="000251E9" w:rsidRDefault="0085021C" w:rsidP="006923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692320">
        <w:rPr>
          <w:rFonts w:ascii="Arial" w:hAnsi="Arial"/>
          <w:color w:val="010000"/>
          <w:sz w:val="20"/>
        </w:rPr>
        <w:t>General Meeting, Board of Directors, Supervisory Board</w:t>
      </w:r>
      <w:r>
        <w:rPr>
          <w:rFonts w:ascii="Arial" w:hAnsi="Arial"/>
          <w:color w:val="010000"/>
          <w:sz w:val="20"/>
        </w:rPr>
        <w:t xml:space="preserve"> and </w:t>
      </w:r>
      <w:r w:rsidR="00692320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.</w:t>
      </w:r>
    </w:p>
    <w:p w14:paraId="3767EA99" w14:textId="77777777" w:rsidR="004B173C" w:rsidRPr="000251E9" w:rsidRDefault="0085021C" w:rsidP="006923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Implementation of the internal audit function: Implemented</w:t>
      </w:r>
    </w:p>
    <w:p w14:paraId="289FBC4F" w14:textId="47CEA4F9" w:rsidR="004B173C" w:rsidRPr="000251E9" w:rsidRDefault="0085021C" w:rsidP="006923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692320">
        <w:rPr>
          <w:rFonts w:ascii="Arial" w:hAnsi="Arial"/>
          <w:color w:val="010000"/>
          <w:sz w:val="20"/>
        </w:rPr>
        <w:t>General Meeting</w:t>
      </w:r>
    </w:p>
    <w:p w14:paraId="1307FC8B" w14:textId="3B3C3725" w:rsidR="004B173C" w:rsidRPr="000251E9" w:rsidRDefault="0085021C" w:rsidP="0069232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meetings and General Mandates/Decisions of the </w:t>
      </w:r>
      <w:r w:rsidR="00692320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(including General Mandates approved by collecting </w:t>
      </w:r>
      <w:r w:rsidR="00692320">
        <w:rPr>
          <w:rFonts w:ascii="Arial" w:hAnsi="Arial"/>
          <w:color w:val="010000"/>
          <w:sz w:val="20"/>
        </w:rPr>
        <w:t>ballots</w:t>
      </w:r>
      <w:r>
        <w:rPr>
          <w:rFonts w:ascii="Arial" w:hAnsi="Arial"/>
          <w:color w:val="010000"/>
          <w:sz w:val="20"/>
        </w:rPr>
        <w:t>)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2321"/>
        <w:gridCol w:w="1365"/>
        <w:gridCol w:w="4766"/>
      </w:tblGrid>
      <w:tr w:rsidR="004B173C" w:rsidRPr="000251E9" w14:paraId="090218C4" w14:textId="77777777" w:rsidTr="000251E9">
        <w:trPr>
          <w:cantSplit/>
        </w:trPr>
        <w:tc>
          <w:tcPr>
            <w:tcW w:w="3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00BCE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1B73A" w14:textId="08883DE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Mandate/Decision of the </w:t>
            </w:r>
            <w:r w:rsidR="00692320">
              <w:rPr>
                <w:rFonts w:ascii="Arial" w:hAnsi="Arial"/>
                <w:color w:val="010000"/>
                <w:sz w:val="20"/>
              </w:rPr>
              <w:t xml:space="preserve">General Meeting </w:t>
            </w:r>
          </w:p>
        </w:tc>
        <w:tc>
          <w:tcPr>
            <w:tcW w:w="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5EFA4C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6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5015D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4B173C" w:rsidRPr="000251E9" w14:paraId="5790DD70" w14:textId="77777777" w:rsidTr="000251E9">
        <w:trPr>
          <w:cantSplit/>
        </w:trPr>
        <w:tc>
          <w:tcPr>
            <w:tcW w:w="3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CD1B9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67ABA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01/2023/NQ-DHDCD</w:t>
            </w:r>
          </w:p>
        </w:tc>
        <w:tc>
          <w:tcPr>
            <w:tcW w:w="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F0737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  <w:tc>
          <w:tcPr>
            <w:tcW w:w="26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4940F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"/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</w:t>
            </w:r>
          </w:p>
        </w:tc>
      </w:tr>
    </w:tbl>
    <w:p w14:paraId="6B8BF14B" w14:textId="77777777" w:rsidR="004B173C" w:rsidRPr="000251E9" w:rsidRDefault="0085021C" w:rsidP="000251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</w:t>
      </w:r>
    </w:p>
    <w:p w14:paraId="72B4C1C1" w14:textId="77777777" w:rsidR="004B173C" w:rsidRPr="000251E9" w:rsidRDefault="0085021C" w:rsidP="000251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711"/>
        <w:gridCol w:w="2583"/>
        <w:gridCol w:w="2040"/>
        <w:gridCol w:w="1777"/>
        <w:gridCol w:w="1908"/>
      </w:tblGrid>
      <w:tr w:rsidR="004B173C" w:rsidRPr="000251E9" w14:paraId="5C28ABE5" w14:textId="77777777" w:rsidTr="000251E9">
        <w:trPr>
          <w:cantSplit/>
        </w:trPr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9FE87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43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264CCC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5CFA17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F2FEE0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4B173C" w:rsidRPr="000251E9" w14:paraId="513CF7ED" w14:textId="77777777" w:rsidTr="000251E9">
        <w:trPr>
          <w:cantSplit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575CD7" w14:textId="77777777" w:rsidR="004B173C" w:rsidRPr="000251E9" w:rsidRDefault="004B173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3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1661D" w14:textId="77777777" w:rsidR="004B173C" w:rsidRPr="000251E9" w:rsidRDefault="004B173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0767B6" w14:textId="77777777" w:rsidR="004B173C" w:rsidRPr="000251E9" w:rsidRDefault="004B173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2290A7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420D9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4B173C" w:rsidRPr="000251E9" w14:paraId="43C41924" w14:textId="77777777" w:rsidTr="000251E9">
        <w:trPr>
          <w:cantSplit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029CC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5043C3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Luyen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Quang Thang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4462B5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8BB5E8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22, 2019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E84A9" w14:textId="77777777" w:rsidR="004B173C" w:rsidRPr="000251E9" w:rsidRDefault="004B173C" w:rsidP="000251E9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B173C" w:rsidRPr="000251E9" w14:paraId="4C65F693" w14:textId="77777777" w:rsidTr="000251E9">
        <w:trPr>
          <w:cantSplit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055A6F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B44CB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Quang Anh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3AEBE0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77B8D4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22, 2019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A8FA7" w14:textId="77777777" w:rsidR="004B173C" w:rsidRPr="000251E9" w:rsidRDefault="004B173C" w:rsidP="000251E9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B173C" w:rsidRPr="000251E9" w14:paraId="4BAA5252" w14:textId="77777777" w:rsidTr="000251E9">
        <w:trPr>
          <w:cantSplit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B1375F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62CC6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Pham Hoang Hai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08C1C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BE277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07, 2022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8BD654" w14:textId="77777777" w:rsidR="004B173C" w:rsidRPr="000251E9" w:rsidRDefault="004B173C" w:rsidP="000251E9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024ECBA" w14:textId="77777777" w:rsidR="004B173C" w:rsidRPr="000251E9" w:rsidRDefault="0085021C" w:rsidP="000251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"/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81"/>
        <w:gridCol w:w="2603"/>
        <w:gridCol w:w="1623"/>
        <w:gridCol w:w="3912"/>
      </w:tblGrid>
      <w:tr w:rsidR="000251E9" w:rsidRPr="000251E9" w14:paraId="0C2D0B1E" w14:textId="77777777" w:rsidTr="000251E9">
        <w:trPr>
          <w:cantSplit/>
        </w:trPr>
        <w:tc>
          <w:tcPr>
            <w:tcW w:w="4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9A8CB7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50698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Resolution/Board Decision No.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AAE550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1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BFDB6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0251E9" w:rsidRPr="000251E9" w14:paraId="66C1D31A" w14:textId="77777777" w:rsidTr="000251E9">
        <w:trPr>
          <w:cantSplit/>
        </w:trPr>
        <w:tc>
          <w:tcPr>
            <w:tcW w:w="4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03F9D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528FB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01/2023/NQ-HDQT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1C87A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16, 2023</w:t>
            </w:r>
          </w:p>
        </w:tc>
        <w:tc>
          <w:tcPr>
            <w:tcW w:w="21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D4B900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policy on risk management of the Company in 2023</w:t>
            </w:r>
          </w:p>
        </w:tc>
      </w:tr>
      <w:tr w:rsidR="000251E9" w:rsidRPr="000251E9" w14:paraId="2697F082" w14:textId="77777777" w:rsidTr="000251E9">
        <w:trPr>
          <w:cantSplit/>
        </w:trPr>
        <w:tc>
          <w:tcPr>
            <w:tcW w:w="4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C77F8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331AC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02A/2023/ NQ-HDQT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55F64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01, 2023</w:t>
            </w:r>
          </w:p>
        </w:tc>
        <w:tc>
          <w:tcPr>
            <w:tcW w:w="21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9932E1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of the person in charge of Internal Audit Committee</w:t>
            </w:r>
          </w:p>
        </w:tc>
      </w:tr>
      <w:tr w:rsidR="000251E9" w:rsidRPr="000251E9" w14:paraId="57422D84" w14:textId="77777777" w:rsidTr="000251E9">
        <w:trPr>
          <w:cantSplit/>
        </w:trPr>
        <w:tc>
          <w:tcPr>
            <w:tcW w:w="4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279D4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8823F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02B/2023/NQ-HDQT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9889E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01, 2023</w:t>
            </w:r>
          </w:p>
        </w:tc>
        <w:tc>
          <w:tcPr>
            <w:tcW w:w="21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B1E85" w14:textId="0154A300" w:rsidR="000251E9" w:rsidRPr="000251E9" w:rsidRDefault="00264C57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Appointment of the </w:t>
            </w:r>
            <w:r w:rsidR="000251E9">
              <w:rPr>
                <w:rFonts w:ascii="Arial" w:hAnsi="Arial"/>
                <w:color w:val="010000"/>
                <w:sz w:val="20"/>
              </w:rPr>
              <w:t>person in charge of Internal Audit Committee</w:t>
            </w:r>
          </w:p>
        </w:tc>
      </w:tr>
      <w:tr w:rsidR="000251E9" w:rsidRPr="000251E9" w14:paraId="73357623" w14:textId="77777777" w:rsidTr="000251E9">
        <w:trPr>
          <w:cantSplit/>
        </w:trPr>
        <w:tc>
          <w:tcPr>
            <w:tcW w:w="4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91385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EA4BE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03/2023/NQ-HDQT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2D52F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02, 2023</w:t>
            </w:r>
          </w:p>
        </w:tc>
        <w:tc>
          <w:tcPr>
            <w:tcW w:w="21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91C7A" w14:textId="16BB4E5F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Convene the Annual </w:t>
            </w:r>
            <w:r w:rsidR="00692320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0251E9" w:rsidRPr="000251E9" w14:paraId="3D9F868B" w14:textId="77777777" w:rsidTr="000251E9">
        <w:trPr>
          <w:cantSplit/>
        </w:trPr>
        <w:tc>
          <w:tcPr>
            <w:tcW w:w="4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0208E9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CB793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04/2023/NQ-HDQT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BB4F94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05, 2023</w:t>
            </w:r>
          </w:p>
        </w:tc>
        <w:tc>
          <w:tcPr>
            <w:tcW w:w="21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8BE0D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transactions between the Corporation and relevant parties</w:t>
            </w:r>
          </w:p>
        </w:tc>
      </w:tr>
      <w:tr w:rsidR="000251E9" w:rsidRPr="000251E9" w14:paraId="016F329C" w14:textId="77777777" w:rsidTr="000251E9">
        <w:trPr>
          <w:cantSplit/>
        </w:trPr>
        <w:tc>
          <w:tcPr>
            <w:tcW w:w="4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961F5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FB738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05/2023/NQ-HDQT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49032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08, 2023</w:t>
            </w:r>
          </w:p>
        </w:tc>
        <w:tc>
          <w:tcPr>
            <w:tcW w:w="21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CB87D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Approval of transactions between the company and related parties</w:t>
            </w:r>
          </w:p>
        </w:tc>
      </w:tr>
      <w:tr w:rsidR="000251E9" w:rsidRPr="000251E9" w14:paraId="766EA2C0" w14:textId="77777777" w:rsidTr="000251E9">
        <w:trPr>
          <w:cantSplit/>
        </w:trPr>
        <w:tc>
          <w:tcPr>
            <w:tcW w:w="4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F5383B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AF3B1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06/2023/NQ-HDQT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E3C4DA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19, 2023</w:t>
            </w:r>
          </w:p>
        </w:tc>
        <w:tc>
          <w:tcPr>
            <w:tcW w:w="21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39E70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Selection of an audit company for the fiscal year 2023</w:t>
            </w:r>
          </w:p>
        </w:tc>
      </w:tr>
      <w:tr w:rsidR="000251E9" w:rsidRPr="000251E9" w14:paraId="3132770D" w14:textId="77777777" w:rsidTr="000251E9">
        <w:trPr>
          <w:cantSplit/>
        </w:trPr>
        <w:tc>
          <w:tcPr>
            <w:tcW w:w="4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6A8CC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6661AB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07/2023/NQ-HDQT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DA282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10, 2023</w:t>
            </w:r>
          </w:p>
        </w:tc>
        <w:tc>
          <w:tcPr>
            <w:tcW w:w="21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01058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Promulgate the Regulations on Reporting and Disclosure of Information</w:t>
            </w:r>
          </w:p>
        </w:tc>
      </w:tr>
      <w:tr w:rsidR="000251E9" w:rsidRPr="000251E9" w14:paraId="205BFD36" w14:textId="77777777" w:rsidTr="000251E9">
        <w:trPr>
          <w:cantSplit/>
        </w:trPr>
        <w:tc>
          <w:tcPr>
            <w:tcW w:w="4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DFBCB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1A54A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08/2023/NQ-HDQT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AEDC2D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10, 2023</w:t>
            </w:r>
          </w:p>
        </w:tc>
        <w:tc>
          <w:tcPr>
            <w:tcW w:w="21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19174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Promulgation of Regulations on Reporting and Information Disclosure</w:t>
            </w:r>
          </w:p>
        </w:tc>
      </w:tr>
      <w:tr w:rsidR="000251E9" w:rsidRPr="000251E9" w14:paraId="55B248E7" w14:textId="77777777" w:rsidTr="000251E9">
        <w:trPr>
          <w:cantSplit/>
        </w:trPr>
        <w:tc>
          <w:tcPr>
            <w:tcW w:w="4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0DC46E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57233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09/2023/NQ-HDQT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AD7E1" w14:textId="77777777" w:rsidR="000251E9" w:rsidRPr="000251E9" w:rsidRDefault="000251E9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15, 2023</w:t>
            </w:r>
          </w:p>
        </w:tc>
        <w:tc>
          <w:tcPr>
            <w:tcW w:w="21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8CC45" w14:textId="5DEB2305" w:rsidR="000251E9" w:rsidRPr="000251E9" w:rsidRDefault="000251E9" w:rsidP="0026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Promulgation of Operational Regulations of the </w:t>
            </w:r>
            <w:r w:rsidR="00264C57">
              <w:rPr>
                <w:rFonts w:ascii="Arial" w:hAnsi="Arial"/>
                <w:color w:val="010000"/>
                <w:sz w:val="20"/>
              </w:rPr>
              <w:t>Executive Board</w:t>
            </w:r>
          </w:p>
        </w:tc>
      </w:tr>
    </w:tbl>
    <w:p w14:paraId="33A3A022" w14:textId="12F98A9F" w:rsidR="004B173C" w:rsidRPr="000251E9" w:rsidRDefault="0085021C" w:rsidP="000251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 (Annual Report 2021)</w:t>
      </w:r>
    </w:p>
    <w:p w14:paraId="27430681" w14:textId="77777777" w:rsidR="004B173C" w:rsidRPr="000251E9" w:rsidRDefault="0085021C" w:rsidP="000251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1"/>
        <w:gridCol w:w="2423"/>
        <w:gridCol w:w="1557"/>
        <w:gridCol w:w="2408"/>
        <w:gridCol w:w="1930"/>
      </w:tblGrid>
      <w:tr w:rsidR="004B173C" w:rsidRPr="000251E9" w14:paraId="0269FF3D" w14:textId="77777777" w:rsidTr="000251E9">
        <w:trPr>
          <w:cantSplit/>
        </w:trPr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5D47A6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927B68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4FEED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3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4A225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0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CD19F8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4B173C" w:rsidRPr="000251E9" w14:paraId="69B78FAB" w14:textId="77777777" w:rsidTr="000251E9">
        <w:trPr>
          <w:cantSplit/>
        </w:trPr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166DB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83B309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Do Duc Loc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811BA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13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C3E5CA" w14:textId="2F481A7A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April 25, 2023</w:t>
            </w:r>
          </w:p>
        </w:tc>
        <w:tc>
          <w:tcPr>
            <w:tcW w:w="10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5360DC" w14:textId="65C1BF30" w:rsidR="004B173C" w:rsidRPr="000251E9" w:rsidRDefault="00692320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85021C">
              <w:rPr>
                <w:rFonts w:ascii="Arial" w:hAnsi="Arial"/>
                <w:color w:val="010000"/>
                <w:sz w:val="20"/>
              </w:rPr>
              <w:t xml:space="preserve"> Finance</w:t>
            </w:r>
          </w:p>
        </w:tc>
      </w:tr>
      <w:tr w:rsidR="004B173C" w:rsidRPr="000251E9" w14:paraId="69837742" w14:textId="77777777" w:rsidTr="000251E9">
        <w:trPr>
          <w:cantSplit/>
        </w:trPr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0F725B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A2E1BA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Le Thi Giang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A8027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Supervisory Board</w:t>
            </w:r>
          </w:p>
        </w:tc>
        <w:tc>
          <w:tcPr>
            <w:tcW w:w="13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FD01A" w14:textId="2765BA3C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March 07, 2022</w:t>
            </w:r>
          </w:p>
        </w:tc>
        <w:tc>
          <w:tcPr>
            <w:tcW w:w="10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9F4E16" w14:textId="5CA77A01" w:rsidR="004B173C" w:rsidRPr="000251E9" w:rsidRDefault="00692320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85021C">
              <w:rPr>
                <w:rFonts w:ascii="Arial" w:hAnsi="Arial"/>
                <w:color w:val="010000"/>
                <w:sz w:val="20"/>
              </w:rPr>
              <w:t xml:space="preserve"> Laws</w:t>
            </w:r>
          </w:p>
        </w:tc>
      </w:tr>
      <w:tr w:rsidR="004B173C" w:rsidRPr="000251E9" w14:paraId="39B6BC71" w14:textId="77777777" w:rsidTr="000251E9">
        <w:trPr>
          <w:cantSplit/>
        </w:trPr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8313F0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03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A0CCC9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Dinh Thi Lan Anh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CF264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Supervisory Board</w:t>
            </w:r>
          </w:p>
        </w:tc>
        <w:tc>
          <w:tcPr>
            <w:tcW w:w="13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E13E8" w14:textId="66B42113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April 25, 2023</w:t>
            </w:r>
          </w:p>
        </w:tc>
        <w:tc>
          <w:tcPr>
            <w:tcW w:w="10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FE66B4" w14:textId="4A2A265C" w:rsidR="004B173C" w:rsidRPr="000251E9" w:rsidRDefault="00692320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85021C">
              <w:rPr>
                <w:rFonts w:ascii="Arial" w:hAnsi="Arial"/>
                <w:color w:val="010000"/>
                <w:sz w:val="20"/>
              </w:rPr>
              <w:t xml:space="preserve"> Accounting</w:t>
            </w:r>
          </w:p>
        </w:tc>
      </w:tr>
    </w:tbl>
    <w:p w14:paraId="3268059B" w14:textId="6840DECC" w:rsidR="004B173C" w:rsidRPr="000251E9" w:rsidRDefault="0085021C" w:rsidP="000251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1"/>
        <w:gridCol w:w="2748"/>
        <w:gridCol w:w="1336"/>
        <w:gridCol w:w="2135"/>
        <w:gridCol w:w="1999"/>
      </w:tblGrid>
      <w:tr w:rsidR="004B173C" w:rsidRPr="000251E9" w14:paraId="1EE13301" w14:textId="77777777" w:rsidTr="000251E9">
        <w:trPr>
          <w:cantSplit/>
        </w:trPr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BDAE2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F8E631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A3DAB0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1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97990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96B2B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a member of the Executive Board</w:t>
            </w:r>
          </w:p>
        </w:tc>
      </w:tr>
      <w:tr w:rsidR="004B173C" w:rsidRPr="000251E9" w14:paraId="08DB9F61" w14:textId="77777777" w:rsidTr="000251E9">
        <w:trPr>
          <w:cantSplit/>
        </w:trPr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E73CC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1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D290E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Quang Anh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FCF705" w14:textId="1BB021B0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</w:t>
            </w:r>
            <w:r w:rsidR="00264C57">
              <w:rPr>
                <w:rFonts w:ascii="Arial" w:hAnsi="Arial"/>
                <w:color w:val="010000"/>
                <w:sz w:val="20"/>
              </w:rPr>
              <w:t>r</w:t>
            </w:r>
            <w:r>
              <w:rPr>
                <w:rFonts w:ascii="Arial" w:hAnsi="Arial"/>
                <w:color w:val="010000"/>
                <w:sz w:val="20"/>
              </w:rPr>
              <w:t>uary 20, 1978</w:t>
            </w:r>
          </w:p>
        </w:tc>
        <w:tc>
          <w:tcPr>
            <w:tcW w:w="11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D5B19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Finance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BCB794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10, 2019</w:t>
            </w:r>
          </w:p>
        </w:tc>
      </w:tr>
    </w:tbl>
    <w:p w14:paraId="6C7E1451" w14:textId="77777777" w:rsidR="004B173C" w:rsidRPr="000251E9" w:rsidRDefault="0085021C" w:rsidP="000251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28"/>
        <w:gridCol w:w="2733"/>
        <w:gridCol w:w="1362"/>
        <w:gridCol w:w="2195"/>
        <w:gridCol w:w="1901"/>
      </w:tblGrid>
      <w:tr w:rsidR="004B173C" w:rsidRPr="000251E9" w14:paraId="0FE3F31D" w14:textId="77777777" w:rsidTr="000251E9">
        <w:trPr>
          <w:cantSplit/>
        </w:trPr>
        <w:tc>
          <w:tcPr>
            <w:tcW w:w="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E5D97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5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92E90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C39CE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2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827876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444E5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</w:tr>
      <w:tr w:rsidR="004B173C" w:rsidRPr="000251E9" w14:paraId="772B796B" w14:textId="77777777" w:rsidTr="000251E9">
        <w:trPr>
          <w:cantSplit/>
        </w:trPr>
        <w:tc>
          <w:tcPr>
            <w:tcW w:w="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F264EB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15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166CDB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Bui Thi Viet Ha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ACD19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15, 1976</w:t>
            </w:r>
          </w:p>
        </w:tc>
        <w:tc>
          <w:tcPr>
            <w:tcW w:w="12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7B131E" w14:textId="1C7D791B" w:rsidR="004B173C" w:rsidRPr="000251E9" w:rsidRDefault="00692320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85021C">
              <w:rPr>
                <w:rFonts w:ascii="Arial" w:hAnsi="Arial"/>
                <w:color w:val="010000"/>
                <w:sz w:val="20"/>
              </w:rPr>
              <w:t xml:space="preserve"> Accounting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95A56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08, 2019</w:t>
            </w:r>
          </w:p>
        </w:tc>
      </w:tr>
    </w:tbl>
    <w:p w14:paraId="59DDF874" w14:textId="77777777" w:rsidR="004B173C" w:rsidRPr="000251E9" w:rsidRDefault="0085021C" w:rsidP="00264C57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governance:</w:t>
      </w:r>
    </w:p>
    <w:p w14:paraId="33915A46" w14:textId="03942987" w:rsidR="004B173C" w:rsidRPr="000251E9" w:rsidRDefault="0085021C" w:rsidP="00264C57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list of </w:t>
      </w:r>
      <w:r w:rsidR="00692320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and transactions between </w:t>
      </w:r>
      <w:r w:rsidR="00692320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of the Company and the Company</w:t>
      </w:r>
    </w:p>
    <w:p w14:paraId="6A410AFD" w14:textId="5773F911" w:rsidR="004B173C" w:rsidRPr="000251E9" w:rsidRDefault="0085021C" w:rsidP="00264C57">
      <w:pPr>
        <w:tabs>
          <w:tab w:val="left" w:pos="360"/>
          <w:tab w:val="left" w:pos="16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692320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or between the Company and major shareholders, PDMR, </w:t>
      </w:r>
      <w:r w:rsidR="00692320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1"/>
        <w:gridCol w:w="1014"/>
        <w:gridCol w:w="889"/>
        <w:gridCol w:w="1430"/>
        <w:gridCol w:w="776"/>
        <w:gridCol w:w="1010"/>
        <w:gridCol w:w="1621"/>
        <w:gridCol w:w="1355"/>
        <w:gridCol w:w="503"/>
      </w:tblGrid>
      <w:tr w:rsidR="000251E9" w:rsidRPr="000251E9" w14:paraId="2D1DEC6A" w14:textId="77777777" w:rsidTr="000251E9">
        <w:trPr>
          <w:cantSplit/>
        </w:trPr>
        <w:tc>
          <w:tcPr>
            <w:tcW w:w="2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F8AC3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8B4888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institution/ individual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A869C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the Company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AFC97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NSH* No., date of issue, place of issue</w:t>
            </w:r>
          </w:p>
        </w:tc>
        <w:tc>
          <w:tcPr>
            <w:tcW w:w="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1AD6E" w14:textId="4BAF1A65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Contract address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71481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8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A4D89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 of the General Meeting of Shareholder No. or Board Resolution/Board Decision No. (including date of promulgation, if any)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3D7535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 quantity, total value of transaction</w:t>
            </w:r>
          </w:p>
        </w:tc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47449" w14:textId="6AF90B73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0251E9" w:rsidRPr="000251E9" w14:paraId="0C4E5E9A" w14:textId="77777777" w:rsidTr="000251E9">
        <w:trPr>
          <w:cantSplit/>
        </w:trPr>
        <w:tc>
          <w:tcPr>
            <w:tcW w:w="2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36B75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3E563F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Thi Thuy Ngan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EFA34" w14:textId="554AC40F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 person of PDMR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567E5" w14:textId="12D48B84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013023942</w:t>
            </w:r>
            <w:r>
              <w:rPr>
                <w:rFonts w:ascii="Arial" w:hAnsi="Arial"/>
                <w:color w:val="010000"/>
                <w:sz w:val="20"/>
              </w:rPr>
              <w:tab/>
              <w:t>Date of issue: August 23, 2011</w:t>
            </w:r>
            <w:r>
              <w:rPr>
                <w:rFonts w:ascii="Arial" w:hAnsi="Arial"/>
                <w:color w:val="010000"/>
                <w:sz w:val="20"/>
              </w:rPr>
              <w:br/>
              <w:t>Place of issue: Ho Chi Minh City Public Security Department Hanoi</w:t>
            </w:r>
          </w:p>
        </w:tc>
        <w:tc>
          <w:tcPr>
            <w:tcW w:w="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FAD1C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Hanoi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0DABF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2022-2023</w:t>
            </w:r>
          </w:p>
        </w:tc>
        <w:tc>
          <w:tcPr>
            <w:tcW w:w="8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74A77C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No. 08/2021/NQ-HDQT dated April 26, 2021, Resolution No. 11/2022/NQ-HDQT d</w:t>
            </w:r>
            <w:r>
              <w:rPr>
                <w:rFonts w:ascii="Arial" w:hAnsi="Arial"/>
                <w:color w:val="010000"/>
                <w:sz w:val="20"/>
              </w:rPr>
              <w:t>ated May 30, 2022, Resolution No. 04/2023/NQ-HDQT dated May 5, 2023 and Resolution No. 05/2023/NQ-HDQT dated May 8, 2023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E20E2" w14:textId="67800A62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contract allowed the company to borrow with a total value of VND 1,655,000,000. As of December 30, 2023, the company has paid off a</w:t>
            </w:r>
            <w:r>
              <w:rPr>
                <w:rFonts w:ascii="Arial" w:hAnsi="Arial"/>
                <w:color w:val="010000"/>
                <w:sz w:val="20"/>
              </w:rPr>
              <w:t>ll the debt.</w:t>
            </w:r>
          </w:p>
        </w:tc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03998" w14:textId="77777777" w:rsidR="004B173C" w:rsidRPr="000251E9" w:rsidRDefault="004B173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251E9" w:rsidRPr="000251E9" w14:paraId="614DEA6C" w14:textId="77777777" w:rsidTr="000251E9">
        <w:trPr>
          <w:cantSplit/>
        </w:trPr>
        <w:tc>
          <w:tcPr>
            <w:tcW w:w="2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900061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6B592F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Bui Thi Viet Ha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95902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PDMR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E88229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040176004130</w:t>
            </w:r>
            <w:r>
              <w:rPr>
                <w:rFonts w:ascii="Arial" w:hAnsi="Arial"/>
                <w:color w:val="010000"/>
                <w:sz w:val="20"/>
              </w:rPr>
              <w:tab/>
              <w:t>Date of issue: April 10, 2021 - Place of issue: The Police Department for Administrative Management of Social Order</w:t>
            </w:r>
          </w:p>
        </w:tc>
        <w:tc>
          <w:tcPr>
            <w:tcW w:w="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D62FF7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Hanoi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B0519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2022-2023</w:t>
            </w:r>
          </w:p>
        </w:tc>
        <w:tc>
          <w:tcPr>
            <w:tcW w:w="8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FF7F46" w14:textId="77777777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No. 08/2021/NQ-HDQT dated April 26, 2021, Resolution No. 11/2022/NQ-HDQT dated May 30, 2022, Resolution No. 04/2023/NQ-HDQT dated May 5, 2023 and Resolution No. 05/2023/NQ-HDQT dated May 8, 2023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9D615" w14:textId="44F2982F" w:rsidR="004B173C" w:rsidRPr="000251E9" w:rsidRDefault="0085021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contract allowed the company to borrow w</w:t>
            </w:r>
            <w:r>
              <w:rPr>
                <w:rFonts w:ascii="Arial" w:hAnsi="Arial"/>
                <w:color w:val="010000"/>
                <w:sz w:val="20"/>
              </w:rPr>
              <w:t>ith a total value of VND 750,000,000. As of December 30, 2023, the company has paid off all the debt.</w:t>
            </w:r>
          </w:p>
        </w:tc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66D6DF" w14:textId="77777777" w:rsidR="004B173C" w:rsidRPr="000251E9" w:rsidRDefault="004B173C" w:rsidP="0002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5272108" w14:textId="77777777" w:rsidR="004B173C" w:rsidRPr="000251E9" w:rsidRDefault="0085021C" w:rsidP="008502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Company’s PDMR, related persons of PDMR and subsidiaries, companies controlled by the Company. None.</w:t>
      </w:r>
    </w:p>
    <w:p w14:paraId="492AEF25" w14:textId="77777777" w:rsidR="004B173C" w:rsidRPr="000251E9" w:rsidRDefault="0085021C" w:rsidP="008502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</w:t>
      </w:r>
    </w:p>
    <w:p w14:paraId="0F2543F9" w14:textId="71BFE180" w:rsidR="004B173C" w:rsidRPr="000251E9" w:rsidRDefault="0085021C" w:rsidP="008502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the company in which members of the Board of Directors, members of the Supervisory Board, Executive</w:t>
      </w:r>
      <w:r>
        <w:rPr>
          <w:rFonts w:ascii="Arial" w:hAnsi="Arial"/>
          <w:color w:val="010000"/>
          <w:sz w:val="20"/>
        </w:rPr>
        <w:t xml:space="preserve"> Manager (</w:t>
      </w:r>
      <w:r w:rsidR="00692320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 who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have been founding membe</w:t>
      </w:r>
      <w:r>
        <w:rPr>
          <w:rFonts w:ascii="Arial" w:hAnsi="Arial"/>
          <w:color w:val="010000"/>
          <w:sz w:val="20"/>
        </w:rPr>
        <w:t>rs or members of the Board of Directors and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692320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for the past three (03) years (calculated at the date</w:t>
      </w:r>
      <w:r>
        <w:rPr>
          <w:rFonts w:ascii="Arial" w:hAnsi="Arial"/>
          <w:color w:val="010000"/>
          <w:sz w:val="20"/>
        </w:rPr>
        <w:t xml:space="preserve"> of reporting). None</w:t>
      </w:r>
    </w:p>
    <w:p w14:paraId="23AD5FA8" w14:textId="72FF5D38" w:rsidR="004B173C" w:rsidRPr="000251E9" w:rsidRDefault="0085021C" w:rsidP="008502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 xml:space="preserve">Transactions between the Company and companies executed by the </w:t>
      </w:r>
      <w:r w:rsidR="00692320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people of members of th</w:t>
      </w:r>
      <w:r>
        <w:rPr>
          <w:rFonts w:ascii="Arial" w:hAnsi="Arial"/>
          <w:color w:val="010000"/>
          <w:sz w:val="20"/>
        </w:rPr>
        <w:t>e Board of Directors, members of the Supervisory Board, Executive</w:t>
      </w:r>
      <w:r>
        <w:rPr>
          <w:rFonts w:ascii="Arial" w:hAnsi="Arial"/>
          <w:color w:val="010000"/>
          <w:sz w:val="20"/>
        </w:rPr>
        <w:t xml:space="preserve"> Manager (</w:t>
      </w:r>
      <w:r w:rsidR="00692320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 who are members of the Board of Directors or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692320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). None.</w:t>
      </w:r>
    </w:p>
    <w:p w14:paraId="4D3B6C59" w14:textId="68A2BC65" w:rsidR="004B173C" w:rsidRPr="000251E9" w:rsidRDefault="0085021C" w:rsidP="0085021C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7"/>
          <w:tab w:val="left" w:pos="9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Company (if any) which can bring material or non-material benefits to members of the Board of Directors, members of the Supervisory Board, Executive</w:t>
      </w:r>
      <w:r>
        <w:rPr>
          <w:rFonts w:ascii="Arial" w:hAnsi="Arial"/>
          <w:color w:val="010000"/>
          <w:sz w:val="20"/>
        </w:rPr>
        <w:t xml:space="preserve"> Manager (General Manager) and other managers: None. Share transactions of PDMR and </w:t>
      </w:r>
      <w:r w:rsidR="00692320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</w:t>
      </w:r>
    </w:p>
    <w:p w14:paraId="7BB874A2" w14:textId="681CDB35" w:rsidR="004B173C" w:rsidRPr="000251E9" w:rsidRDefault="0085021C" w:rsidP="008502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 of PDMR and </w:t>
      </w:r>
      <w:r w:rsidR="00692320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related to the Company’s shares: None.</w:t>
      </w:r>
    </w:p>
    <w:p w14:paraId="6E5F770A" w14:textId="77777777" w:rsidR="004B173C" w:rsidRPr="000251E9" w:rsidRDefault="0085021C" w:rsidP="008502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>
        <w:rPr>
          <w:rFonts w:ascii="Arial" w:hAnsi="Arial"/>
          <w:color w:val="010000"/>
          <w:sz w:val="20"/>
        </w:rPr>
        <w:t>Other significant issues None</w:t>
      </w:r>
    </w:p>
    <w:sectPr w:rsidR="004B173C" w:rsidRPr="000251E9" w:rsidSect="00DD2DCF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78C"/>
    <w:multiLevelType w:val="multilevel"/>
    <w:tmpl w:val="51022662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CD07D9A"/>
    <w:multiLevelType w:val="multilevel"/>
    <w:tmpl w:val="B264416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09E7"/>
    <w:multiLevelType w:val="multilevel"/>
    <w:tmpl w:val="13FCED2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92CBB"/>
    <w:multiLevelType w:val="multilevel"/>
    <w:tmpl w:val="EE4C59F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AE908DA"/>
    <w:multiLevelType w:val="multilevel"/>
    <w:tmpl w:val="1EF60CD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47B4599"/>
    <w:multiLevelType w:val="multilevel"/>
    <w:tmpl w:val="D798A322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7DB1BB3"/>
    <w:multiLevelType w:val="multilevel"/>
    <w:tmpl w:val="254888D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3C"/>
    <w:rsid w:val="000251E9"/>
    <w:rsid w:val="00264C57"/>
    <w:rsid w:val="004B173C"/>
    <w:rsid w:val="00692320"/>
    <w:rsid w:val="0085021C"/>
    <w:rsid w:val="00D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2AD13"/>
  <w15:docId w15:val="{C210FF95-8BEF-4FEB-B879-85A1C148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C42F50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C42F50"/>
      <w:sz w:val="13"/>
      <w:szCs w:val="13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B4B4B8"/>
      <w:sz w:val="10"/>
      <w:szCs w:val="10"/>
      <w:u w:val="none"/>
      <w:shd w:val="clear" w:color="auto" w:fill="auto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pPr>
      <w:spacing w:line="33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C42F50"/>
      <w:sz w:val="15"/>
      <w:szCs w:val="15"/>
    </w:rPr>
  </w:style>
  <w:style w:type="paragraph" w:customStyle="1" w:styleId="Bodytext20">
    <w:name w:val="Body text (2)"/>
    <w:basedOn w:val="Normal"/>
    <w:link w:val="Bodytext2"/>
    <w:pPr>
      <w:spacing w:line="348" w:lineRule="auto"/>
      <w:jc w:val="center"/>
    </w:pPr>
    <w:rPr>
      <w:rFonts w:ascii="Arial" w:eastAsia="Arial" w:hAnsi="Arial" w:cs="Arial"/>
      <w:b/>
      <w:bCs/>
      <w:color w:val="C42F50"/>
      <w:sz w:val="13"/>
      <w:szCs w:val="13"/>
    </w:rPr>
  </w:style>
  <w:style w:type="paragraph" w:customStyle="1" w:styleId="Heading21">
    <w:name w:val="Heading #2"/>
    <w:basedOn w:val="Normal"/>
    <w:link w:val="Heading20"/>
    <w:pPr>
      <w:spacing w:line="252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3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4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pPr>
      <w:ind w:left="2790"/>
    </w:pPr>
    <w:rPr>
      <w:rFonts w:ascii="Arial" w:eastAsia="Arial" w:hAnsi="Arial" w:cs="Arial"/>
      <w:color w:val="B4B4B8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bsi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KooxVxrB+noAXmrNRxPPb3DO1w==">CgMxLjAyCGguZ2pkZ3hzOAByITFlbU8zM2tyenhrXzZfb2p6M2RmSHpWamdab0pPb0RRbQ==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2024-01-26T04:27:00Z</dcterms:created>
  <dcterms:modified xsi:type="dcterms:W3CDTF">2024-01-26T04:27:00Z</dcterms:modified>
</cp:coreProperties>
</file>