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99000" w14:textId="134A6FF3" w:rsidR="00DB1479" w:rsidRPr="00305F72" w:rsidRDefault="00172AA0" w:rsidP="00305F7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305F72">
        <w:rPr>
          <w:rFonts w:ascii="Arial" w:hAnsi="Arial" w:cs="Arial"/>
          <w:b/>
          <w:color w:val="010000"/>
          <w:sz w:val="20"/>
        </w:rPr>
        <w:t>DDV</w:t>
      </w:r>
      <w:proofErr w:type="spellEnd"/>
      <w:r w:rsidRPr="00305F72">
        <w:rPr>
          <w:rFonts w:ascii="Arial" w:hAnsi="Arial" w:cs="Arial"/>
          <w:b/>
          <w:color w:val="010000"/>
          <w:sz w:val="20"/>
        </w:rPr>
        <w:t xml:space="preserve">: Information disclosure related to </w:t>
      </w:r>
      <w:r w:rsidR="00F86EC2" w:rsidRPr="00305F72">
        <w:rPr>
          <w:rFonts w:ascii="Arial" w:hAnsi="Arial" w:cs="Arial"/>
          <w:b/>
          <w:color w:val="010000"/>
          <w:sz w:val="20"/>
        </w:rPr>
        <w:t xml:space="preserve">the </w:t>
      </w:r>
      <w:r w:rsidRPr="00305F72">
        <w:rPr>
          <w:rFonts w:ascii="Arial" w:hAnsi="Arial" w:cs="Arial"/>
          <w:b/>
          <w:color w:val="010000"/>
          <w:sz w:val="20"/>
        </w:rPr>
        <w:t>Financial Statements 2022</w:t>
      </w:r>
    </w:p>
    <w:p w14:paraId="60E99001" w14:textId="77777777" w:rsidR="00DB1479" w:rsidRPr="00305F72" w:rsidRDefault="00172AA0" w:rsidP="00305F7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05F72">
        <w:rPr>
          <w:rFonts w:ascii="Arial" w:hAnsi="Arial" w:cs="Arial"/>
          <w:color w:val="010000"/>
          <w:sz w:val="20"/>
        </w:rPr>
        <w:t>On January 22, 2024, DAP-</w:t>
      </w:r>
      <w:proofErr w:type="spellStart"/>
      <w:r w:rsidRPr="00305F72">
        <w:rPr>
          <w:rFonts w:ascii="Arial" w:hAnsi="Arial" w:cs="Arial"/>
          <w:color w:val="010000"/>
          <w:sz w:val="20"/>
        </w:rPr>
        <w:t>VINACHEM</w:t>
      </w:r>
      <w:proofErr w:type="spellEnd"/>
      <w:r w:rsidRPr="00305F72">
        <w:rPr>
          <w:rFonts w:ascii="Arial" w:hAnsi="Arial" w:cs="Arial"/>
          <w:color w:val="010000"/>
          <w:sz w:val="20"/>
        </w:rPr>
        <w:t xml:space="preserve"> Joint Stock Company announced Official Dispatch No. 53/GT-DAP on explaining the difference of profit after tax in the Financial Statements 2022 audited by the State Audit as follows:</w:t>
      </w:r>
    </w:p>
    <w:tbl>
      <w:tblPr>
        <w:tblStyle w:val="2"/>
        <w:tblW w:w="5000" w:type="pct"/>
        <w:tblLook w:val="0000" w:firstRow="0" w:lastRow="0" w:firstColumn="0" w:lastColumn="0" w:noHBand="0" w:noVBand="0"/>
      </w:tblPr>
      <w:tblGrid>
        <w:gridCol w:w="3009"/>
        <w:gridCol w:w="1522"/>
        <w:gridCol w:w="1522"/>
        <w:gridCol w:w="1300"/>
        <w:gridCol w:w="1666"/>
      </w:tblGrid>
      <w:tr w:rsidR="00DB1479" w:rsidRPr="00305F72" w14:paraId="60E99006" w14:textId="77777777" w:rsidTr="00305F72">
        <w:tc>
          <w:tcPr>
            <w:tcW w:w="19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99002" w14:textId="77777777" w:rsidR="00DB1479" w:rsidRPr="00305F72" w:rsidRDefault="00172AA0" w:rsidP="0030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F72">
              <w:rPr>
                <w:rFonts w:ascii="Arial" w:hAnsi="Arial" w:cs="Arial"/>
                <w:color w:val="010000"/>
                <w:sz w:val="20"/>
              </w:rPr>
              <w:t>Report type</w:t>
            </w:r>
          </w:p>
        </w:tc>
        <w:tc>
          <w:tcPr>
            <w:tcW w:w="1786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99003" w14:textId="77777777" w:rsidR="00DB1479" w:rsidRPr="00305F72" w:rsidRDefault="00172AA0" w:rsidP="0030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F72">
              <w:rPr>
                <w:rFonts w:ascii="Arial" w:hAnsi="Arial" w:cs="Arial"/>
                <w:color w:val="010000"/>
                <w:sz w:val="20"/>
              </w:rPr>
              <w:t>Profit after tax in 2022</w:t>
            </w:r>
          </w:p>
        </w:tc>
        <w:tc>
          <w:tcPr>
            <w:tcW w:w="79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99004" w14:textId="77777777" w:rsidR="00DB1479" w:rsidRPr="00305F72" w:rsidRDefault="00172AA0" w:rsidP="0030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F72">
              <w:rPr>
                <w:rFonts w:ascii="Arial" w:hAnsi="Arial" w:cs="Arial"/>
                <w:color w:val="010000"/>
                <w:sz w:val="20"/>
              </w:rPr>
              <w:t>Difference</w:t>
            </w:r>
          </w:p>
        </w:tc>
        <w:tc>
          <w:tcPr>
            <w:tcW w:w="4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99005" w14:textId="77777777" w:rsidR="00DB1479" w:rsidRPr="00305F72" w:rsidRDefault="00172AA0" w:rsidP="0030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F72">
              <w:rPr>
                <w:rFonts w:ascii="Arial" w:hAnsi="Arial" w:cs="Arial"/>
                <w:color w:val="010000"/>
                <w:sz w:val="20"/>
              </w:rPr>
              <w:t>Increase/decrease rate (%)</w:t>
            </w:r>
          </w:p>
        </w:tc>
      </w:tr>
      <w:tr w:rsidR="00DB1479" w:rsidRPr="00305F72" w14:paraId="60E9900C" w14:textId="77777777" w:rsidTr="00305F72">
        <w:tc>
          <w:tcPr>
            <w:tcW w:w="197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99007" w14:textId="77777777" w:rsidR="00DB1479" w:rsidRPr="00305F72" w:rsidRDefault="00DB1479" w:rsidP="0030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99008" w14:textId="77777777" w:rsidR="00DB1479" w:rsidRPr="00305F72" w:rsidRDefault="00172AA0" w:rsidP="0030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F72">
              <w:rPr>
                <w:rFonts w:ascii="Arial" w:hAnsi="Arial" w:cs="Arial"/>
                <w:color w:val="010000"/>
                <w:sz w:val="20"/>
              </w:rPr>
              <w:t>Reported figures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99009" w14:textId="77777777" w:rsidR="00DB1479" w:rsidRPr="00305F72" w:rsidRDefault="00172AA0" w:rsidP="0030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F72">
              <w:rPr>
                <w:rFonts w:ascii="Arial" w:hAnsi="Arial" w:cs="Arial"/>
                <w:color w:val="010000"/>
                <w:sz w:val="20"/>
              </w:rPr>
              <w:t>State Audit figures</w:t>
            </w:r>
          </w:p>
        </w:tc>
        <w:tc>
          <w:tcPr>
            <w:tcW w:w="79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9900A" w14:textId="77777777" w:rsidR="00DB1479" w:rsidRPr="00305F72" w:rsidRDefault="00DB1479" w:rsidP="0030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9900B" w14:textId="77777777" w:rsidR="00DB1479" w:rsidRPr="00305F72" w:rsidRDefault="00DB1479" w:rsidP="0030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B1479" w:rsidRPr="00305F72" w14:paraId="60E99012" w14:textId="77777777" w:rsidTr="00305F72"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9900D" w14:textId="77777777" w:rsidR="00DB1479" w:rsidRPr="00305F72" w:rsidRDefault="00172AA0" w:rsidP="0030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F72">
              <w:rPr>
                <w:rFonts w:ascii="Arial" w:hAnsi="Arial" w:cs="Arial"/>
                <w:color w:val="010000"/>
                <w:sz w:val="20"/>
              </w:rPr>
              <w:t>The Financial Statements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9900E" w14:textId="77777777" w:rsidR="00DB1479" w:rsidRPr="00305F72" w:rsidRDefault="00172AA0" w:rsidP="0030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F72">
              <w:rPr>
                <w:rFonts w:ascii="Arial" w:hAnsi="Arial" w:cs="Arial"/>
                <w:color w:val="010000"/>
                <w:sz w:val="20"/>
              </w:rPr>
              <w:t>357,263,400,625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9900F" w14:textId="77777777" w:rsidR="00DB1479" w:rsidRPr="00305F72" w:rsidRDefault="00172AA0" w:rsidP="0030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F72">
              <w:rPr>
                <w:rFonts w:ascii="Arial" w:hAnsi="Arial" w:cs="Arial"/>
                <w:color w:val="010000"/>
                <w:sz w:val="20"/>
              </w:rPr>
              <w:t>360,307,637,959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99010" w14:textId="77777777" w:rsidR="00DB1479" w:rsidRPr="00305F72" w:rsidRDefault="00172AA0" w:rsidP="0030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F72">
              <w:rPr>
                <w:rFonts w:ascii="Arial" w:hAnsi="Arial" w:cs="Arial"/>
                <w:color w:val="010000"/>
                <w:sz w:val="20"/>
              </w:rPr>
              <w:t>3,044,237,334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99011" w14:textId="77777777" w:rsidR="00DB1479" w:rsidRPr="00305F72" w:rsidRDefault="00172AA0" w:rsidP="0030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F72">
              <w:rPr>
                <w:rFonts w:ascii="Arial" w:hAnsi="Arial" w:cs="Arial"/>
                <w:color w:val="010000"/>
                <w:sz w:val="20"/>
              </w:rPr>
              <w:t>0.85</w:t>
            </w:r>
          </w:p>
        </w:tc>
      </w:tr>
    </w:tbl>
    <w:p w14:paraId="60E99013" w14:textId="77777777" w:rsidR="00DB1479" w:rsidRPr="00305F72" w:rsidRDefault="00172AA0" w:rsidP="00305F7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05F72">
        <w:rPr>
          <w:rFonts w:ascii="Arial" w:hAnsi="Arial" w:cs="Arial"/>
          <w:color w:val="010000"/>
          <w:sz w:val="20"/>
        </w:rPr>
        <w:t>Some increased and decreased targets changing profit after tax are as follows:</w:t>
      </w:r>
    </w:p>
    <w:tbl>
      <w:tblPr>
        <w:tblStyle w:val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2"/>
        <w:gridCol w:w="2210"/>
        <w:gridCol w:w="1689"/>
        <w:gridCol w:w="1689"/>
        <w:gridCol w:w="1433"/>
        <w:gridCol w:w="1666"/>
      </w:tblGrid>
      <w:tr w:rsidR="00DB1479" w:rsidRPr="00305F72" w14:paraId="60E9901A" w14:textId="77777777" w:rsidTr="00305F72">
        <w:tc>
          <w:tcPr>
            <w:tcW w:w="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99014" w14:textId="77777777" w:rsidR="00DB1479" w:rsidRPr="00305F72" w:rsidRDefault="00172AA0" w:rsidP="0030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F7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6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99015" w14:textId="77777777" w:rsidR="00DB1479" w:rsidRPr="00305F72" w:rsidRDefault="00172AA0" w:rsidP="0030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F72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99016" w14:textId="77777777" w:rsidR="00DB1479" w:rsidRPr="00305F72" w:rsidRDefault="00172AA0" w:rsidP="0030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F72">
              <w:rPr>
                <w:rFonts w:ascii="Arial" w:hAnsi="Arial" w:cs="Arial"/>
                <w:color w:val="010000"/>
                <w:sz w:val="20"/>
              </w:rPr>
              <w:t>Reported figures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99017" w14:textId="77777777" w:rsidR="00DB1479" w:rsidRPr="00305F72" w:rsidRDefault="00172AA0" w:rsidP="0030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F72">
              <w:rPr>
                <w:rFonts w:ascii="Arial" w:hAnsi="Arial" w:cs="Arial"/>
                <w:color w:val="010000"/>
                <w:sz w:val="20"/>
              </w:rPr>
              <w:t>State Audit figures</w:t>
            </w:r>
          </w:p>
        </w:tc>
        <w:tc>
          <w:tcPr>
            <w:tcW w:w="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99018" w14:textId="77777777" w:rsidR="00DB1479" w:rsidRPr="00305F72" w:rsidRDefault="00172AA0" w:rsidP="0030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F72">
              <w:rPr>
                <w:rFonts w:ascii="Arial" w:hAnsi="Arial" w:cs="Arial"/>
                <w:color w:val="010000"/>
                <w:sz w:val="20"/>
              </w:rPr>
              <w:t>Difference</w:t>
            </w:r>
          </w:p>
        </w:tc>
        <w:tc>
          <w:tcPr>
            <w:tcW w:w="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99019" w14:textId="77777777" w:rsidR="00DB1479" w:rsidRPr="00305F72" w:rsidRDefault="00172AA0" w:rsidP="0030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F72">
              <w:rPr>
                <w:rFonts w:ascii="Arial" w:hAnsi="Arial" w:cs="Arial"/>
                <w:color w:val="010000"/>
                <w:sz w:val="20"/>
              </w:rPr>
              <w:t>Increase/decrease rate (%)</w:t>
            </w:r>
          </w:p>
        </w:tc>
      </w:tr>
      <w:tr w:rsidR="00DB1479" w:rsidRPr="00305F72" w14:paraId="60E99021" w14:textId="77777777" w:rsidTr="00305F72">
        <w:tc>
          <w:tcPr>
            <w:tcW w:w="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9901B" w14:textId="77777777" w:rsidR="00DB1479" w:rsidRPr="00305F72" w:rsidRDefault="00172AA0" w:rsidP="0030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F7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6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9901C" w14:textId="77777777" w:rsidR="00DB1479" w:rsidRPr="00305F72" w:rsidRDefault="00172AA0" w:rsidP="0030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F72">
              <w:rPr>
                <w:rFonts w:ascii="Arial" w:hAnsi="Arial" w:cs="Arial"/>
                <w:color w:val="010000"/>
                <w:sz w:val="20"/>
              </w:rPr>
              <w:t>Cost of goods sold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9901D" w14:textId="77777777" w:rsidR="00DB1479" w:rsidRPr="00305F72" w:rsidRDefault="00172AA0" w:rsidP="0030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F72">
              <w:rPr>
                <w:rFonts w:ascii="Arial" w:hAnsi="Arial" w:cs="Arial"/>
                <w:color w:val="010000"/>
                <w:sz w:val="20"/>
              </w:rPr>
              <w:t>2,780,451,187,488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9901E" w14:textId="77777777" w:rsidR="00DB1479" w:rsidRPr="00305F72" w:rsidRDefault="00172AA0" w:rsidP="0030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F72">
              <w:rPr>
                <w:rFonts w:ascii="Arial" w:hAnsi="Arial" w:cs="Arial"/>
                <w:color w:val="010000"/>
                <w:sz w:val="20"/>
              </w:rPr>
              <w:t>2,777,246,727,136</w:t>
            </w:r>
          </w:p>
        </w:tc>
        <w:tc>
          <w:tcPr>
            <w:tcW w:w="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9901F" w14:textId="77777777" w:rsidR="00DB1479" w:rsidRPr="00305F72" w:rsidRDefault="00172AA0" w:rsidP="0030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F72">
              <w:rPr>
                <w:rFonts w:ascii="Arial" w:hAnsi="Arial" w:cs="Arial"/>
                <w:color w:val="010000"/>
                <w:sz w:val="20"/>
              </w:rPr>
              <w:t>(3,204,460,352)</w:t>
            </w:r>
          </w:p>
        </w:tc>
        <w:tc>
          <w:tcPr>
            <w:tcW w:w="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99020" w14:textId="77777777" w:rsidR="00DB1479" w:rsidRPr="00305F72" w:rsidRDefault="00172AA0" w:rsidP="0030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F72">
              <w:rPr>
                <w:rFonts w:ascii="Arial" w:hAnsi="Arial" w:cs="Arial"/>
                <w:color w:val="010000"/>
                <w:sz w:val="20"/>
              </w:rPr>
              <w:t>-0.12%</w:t>
            </w:r>
          </w:p>
        </w:tc>
      </w:tr>
      <w:tr w:rsidR="00DB1479" w:rsidRPr="00305F72" w14:paraId="60E99028" w14:textId="77777777" w:rsidTr="00305F72">
        <w:tc>
          <w:tcPr>
            <w:tcW w:w="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99022" w14:textId="77777777" w:rsidR="00DB1479" w:rsidRPr="00305F72" w:rsidRDefault="00172AA0" w:rsidP="0030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F72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6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99023" w14:textId="77777777" w:rsidR="00DB1479" w:rsidRPr="00305F72" w:rsidRDefault="00172AA0" w:rsidP="0030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F72">
              <w:rPr>
                <w:rFonts w:ascii="Arial" w:hAnsi="Arial" w:cs="Arial"/>
                <w:color w:val="010000"/>
                <w:sz w:val="20"/>
              </w:rPr>
              <w:t>Total profit before tax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99024" w14:textId="77777777" w:rsidR="00DB1479" w:rsidRPr="00305F72" w:rsidRDefault="00172AA0" w:rsidP="0030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F72">
              <w:rPr>
                <w:rFonts w:ascii="Arial" w:hAnsi="Arial" w:cs="Arial"/>
                <w:color w:val="010000"/>
                <w:sz w:val="20"/>
              </w:rPr>
              <w:t>379,710,960,305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99025" w14:textId="77777777" w:rsidR="00DB1479" w:rsidRPr="00305F72" w:rsidRDefault="00172AA0" w:rsidP="0030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F72">
              <w:rPr>
                <w:rFonts w:ascii="Arial" w:hAnsi="Arial" w:cs="Arial"/>
                <w:color w:val="010000"/>
                <w:sz w:val="20"/>
              </w:rPr>
              <w:t>382,915,420,657</w:t>
            </w:r>
          </w:p>
        </w:tc>
        <w:tc>
          <w:tcPr>
            <w:tcW w:w="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99026" w14:textId="77777777" w:rsidR="00DB1479" w:rsidRPr="00305F72" w:rsidRDefault="00172AA0" w:rsidP="0030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F72">
              <w:rPr>
                <w:rFonts w:ascii="Arial" w:hAnsi="Arial" w:cs="Arial"/>
                <w:color w:val="010000"/>
                <w:sz w:val="20"/>
              </w:rPr>
              <w:t>3,204,460,352</w:t>
            </w:r>
          </w:p>
        </w:tc>
        <w:tc>
          <w:tcPr>
            <w:tcW w:w="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99027" w14:textId="77777777" w:rsidR="00DB1479" w:rsidRPr="00305F72" w:rsidRDefault="00172AA0" w:rsidP="0030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F72">
              <w:rPr>
                <w:rFonts w:ascii="Arial" w:hAnsi="Arial" w:cs="Arial"/>
                <w:color w:val="010000"/>
                <w:sz w:val="20"/>
              </w:rPr>
              <w:t>0.84%</w:t>
            </w:r>
          </w:p>
        </w:tc>
      </w:tr>
      <w:tr w:rsidR="00DB1479" w:rsidRPr="00305F72" w14:paraId="60E9902F" w14:textId="77777777" w:rsidTr="00305F72">
        <w:tc>
          <w:tcPr>
            <w:tcW w:w="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99029" w14:textId="77777777" w:rsidR="00DB1479" w:rsidRPr="00305F72" w:rsidRDefault="00172AA0" w:rsidP="0030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F72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6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9902A" w14:textId="77777777" w:rsidR="00DB1479" w:rsidRPr="00305F72" w:rsidRDefault="00172AA0" w:rsidP="0030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F72">
              <w:rPr>
                <w:rFonts w:ascii="Arial" w:hAnsi="Arial" w:cs="Arial"/>
                <w:color w:val="010000"/>
                <w:sz w:val="20"/>
              </w:rPr>
              <w:t>Current corporate income tax expense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9902B" w14:textId="77777777" w:rsidR="00DB1479" w:rsidRPr="00305F72" w:rsidRDefault="00172AA0" w:rsidP="0030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F72">
              <w:rPr>
                <w:rFonts w:ascii="Arial" w:hAnsi="Arial" w:cs="Arial"/>
                <w:color w:val="010000"/>
                <w:sz w:val="20"/>
              </w:rPr>
              <w:t>22,447,559,680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9902C" w14:textId="77777777" w:rsidR="00DB1479" w:rsidRPr="00305F72" w:rsidRDefault="00172AA0" w:rsidP="0030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F72">
              <w:rPr>
                <w:rFonts w:ascii="Arial" w:hAnsi="Arial" w:cs="Arial"/>
                <w:color w:val="010000"/>
                <w:sz w:val="20"/>
              </w:rPr>
              <w:t>22,607,782,698</w:t>
            </w:r>
          </w:p>
        </w:tc>
        <w:tc>
          <w:tcPr>
            <w:tcW w:w="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9902D" w14:textId="77777777" w:rsidR="00DB1479" w:rsidRPr="00305F72" w:rsidRDefault="00172AA0" w:rsidP="0030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F72">
              <w:rPr>
                <w:rFonts w:ascii="Arial" w:hAnsi="Arial" w:cs="Arial"/>
                <w:color w:val="010000"/>
                <w:sz w:val="20"/>
              </w:rPr>
              <w:t>160,223,018</w:t>
            </w:r>
          </w:p>
        </w:tc>
        <w:tc>
          <w:tcPr>
            <w:tcW w:w="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9902E" w14:textId="77777777" w:rsidR="00DB1479" w:rsidRPr="00305F72" w:rsidRDefault="00172AA0" w:rsidP="0030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F72">
              <w:rPr>
                <w:rFonts w:ascii="Arial" w:hAnsi="Arial" w:cs="Arial"/>
                <w:color w:val="010000"/>
                <w:sz w:val="20"/>
              </w:rPr>
              <w:t>0.71%</w:t>
            </w:r>
          </w:p>
        </w:tc>
      </w:tr>
      <w:tr w:rsidR="00DB1479" w:rsidRPr="00305F72" w14:paraId="60E99036" w14:textId="77777777" w:rsidTr="00305F72">
        <w:tc>
          <w:tcPr>
            <w:tcW w:w="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99030" w14:textId="77777777" w:rsidR="00DB1479" w:rsidRPr="00305F72" w:rsidRDefault="00172AA0" w:rsidP="0030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F72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6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99031" w14:textId="77777777" w:rsidR="00DB1479" w:rsidRPr="00305F72" w:rsidRDefault="00172AA0" w:rsidP="0030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F72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99032" w14:textId="77777777" w:rsidR="00DB1479" w:rsidRPr="00305F72" w:rsidRDefault="00172AA0" w:rsidP="0030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F72">
              <w:rPr>
                <w:rFonts w:ascii="Arial" w:hAnsi="Arial" w:cs="Arial"/>
                <w:color w:val="010000"/>
                <w:sz w:val="20"/>
              </w:rPr>
              <w:t>357,263,400,625</w:t>
            </w:r>
          </w:p>
        </w:tc>
        <w:tc>
          <w:tcPr>
            <w:tcW w:w="93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99033" w14:textId="028E0562" w:rsidR="00DB1479" w:rsidRPr="00305F72" w:rsidRDefault="00172AA0" w:rsidP="0030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F72">
              <w:rPr>
                <w:rFonts w:ascii="Arial" w:hAnsi="Arial" w:cs="Arial"/>
                <w:color w:val="010000"/>
                <w:sz w:val="20"/>
              </w:rPr>
              <w:t>360</w:t>
            </w:r>
            <w:r w:rsidR="00305F72" w:rsidRPr="00305F72">
              <w:rPr>
                <w:rFonts w:ascii="Arial" w:hAnsi="Arial" w:cs="Arial"/>
                <w:color w:val="010000"/>
                <w:sz w:val="20"/>
              </w:rPr>
              <w:t>,</w:t>
            </w:r>
            <w:r w:rsidRPr="00305F72">
              <w:rPr>
                <w:rFonts w:ascii="Arial" w:hAnsi="Arial" w:cs="Arial"/>
                <w:color w:val="010000"/>
                <w:sz w:val="20"/>
              </w:rPr>
              <w:t>307</w:t>
            </w:r>
            <w:r w:rsidR="00305F72" w:rsidRPr="00305F72">
              <w:rPr>
                <w:rFonts w:ascii="Arial" w:hAnsi="Arial" w:cs="Arial"/>
                <w:color w:val="010000"/>
                <w:sz w:val="20"/>
              </w:rPr>
              <w:t>,</w:t>
            </w:r>
            <w:r w:rsidRPr="00305F72">
              <w:rPr>
                <w:rFonts w:ascii="Arial" w:hAnsi="Arial" w:cs="Arial"/>
                <w:color w:val="010000"/>
                <w:sz w:val="20"/>
              </w:rPr>
              <w:t>637</w:t>
            </w:r>
            <w:r w:rsidR="00305F72" w:rsidRPr="00305F72">
              <w:rPr>
                <w:rFonts w:ascii="Arial" w:hAnsi="Arial" w:cs="Arial"/>
                <w:color w:val="010000"/>
                <w:sz w:val="20"/>
              </w:rPr>
              <w:t>,</w:t>
            </w:r>
            <w:r w:rsidRPr="00305F72">
              <w:rPr>
                <w:rFonts w:ascii="Arial" w:hAnsi="Arial" w:cs="Arial"/>
                <w:color w:val="010000"/>
                <w:sz w:val="20"/>
              </w:rPr>
              <w:t>959</w:t>
            </w:r>
          </w:p>
        </w:tc>
        <w:tc>
          <w:tcPr>
            <w:tcW w:w="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99034" w14:textId="77777777" w:rsidR="00DB1479" w:rsidRPr="00305F72" w:rsidRDefault="00172AA0" w:rsidP="0030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F72">
              <w:rPr>
                <w:rFonts w:ascii="Arial" w:hAnsi="Arial" w:cs="Arial"/>
                <w:color w:val="010000"/>
                <w:sz w:val="20"/>
              </w:rPr>
              <w:t>3,044,237,334</w:t>
            </w:r>
          </w:p>
        </w:tc>
        <w:tc>
          <w:tcPr>
            <w:tcW w:w="3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99035" w14:textId="77777777" w:rsidR="00DB1479" w:rsidRPr="00305F72" w:rsidRDefault="00172AA0" w:rsidP="00305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305F72">
              <w:rPr>
                <w:rFonts w:ascii="Arial" w:hAnsi="Arial" w:cs="Arial"/>
                <w:color w:val="010000"/>
                <w:sz w:val="20"/>
              </w:rPr>
              <w:t>0.85%</w:t>
            </w:r>
          </w:p>
        </w:tc>
      </w:tr>
    </w:tbl>
    <w:p w14:paraId="60E99037" w14:textId="77777777" w:rsidR="00DB1479" w:rsidRPr="00305F72" w:rsidRDefault="00172AA0" w:rsidP="00305F7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05F72">
        <w:rPr>
          <w:rFonts w:ascii="Arial" w:hAnsi="Arial" w:cs="Arial"/>
          <w:color w:val="010000"/>
          <w:sz w:val="20"/>
        </w:rPr>
        <w:t>Causes of increase or decrease in some targets:</w:t>
      </w:r>
    </w:p>
    <w:p w14:paraId="60E99038" w14:textId="77777777" w:rsidR="00DB1479" w:rsidRPr="00305F72" w:rsidRDefault="00172AA0" w:rsidP="00305F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05F72">
        <w:rPr>
          <w:rFonts w:ascii="Arial" w:hAnsi="Arial" w:cs="Arial"/>
          <w:color w:val="010000"/>
          <w:sz w:val="20"/>
        </w:rPr>
        <w:t xml:space="preserve">The cost of goods sold decreased by </w:t>
      </w:r>
      <w:proofErr w:type="spellStart"/>
      <w:r w:rsidRPr="00305F72">
        <w:rPr>
          <w:rFonts w:ascii="Arial" w:hAnsi="Arial" w:cs="Arial"/>
          <w:color w:val="010000"/>
          <w:sz w:val="20"/>
        </w:rPr>
        <w:t>VND</w:t>
      </w:r>
      <w:proofErr w:type="spellEnd"/>
      <w:r w:rsidRPr="00305F72">
        <w:rPr>
          <w:rFonts w:ascii="Arial" w:hAnsi="Arial" w:cs="Arial"/>
          <w:color w:val="010000"/>
          <w:sz w:val="20"/>
        </w:rPr>
        <w:t xml:space="preserve"> 3,204,460,352 due to:</w:t>
      </w:r>
    </w:p>
    <w:p w14:paraId="60E99039" w14:textId="77777777" w:rsidR="00DB1479" w:rsidRPr="00305F72" w:rsidRDefault="00172AA0" w:rsidP="00305F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05F72">
        <w:rPr>
          <w:rFonts w:ascii="Arial" w:hAnsi="Arial" w:cs="Arial"/>
          <w:color w:val="010000"/>
          <w:sz w:val="20"/>
        </w:rPr>
        <w:t xml:space="preserve">Reducing major repair expenses to increase fixed assets: </w:t>
      </w:r>
      <w:proofErr w:type="spellStart"/>
      <w:r w:rsidRPr="00305F72">
        <w:rPr>
          <w:rFonts w:ascii="Arial" w:hAnsi="Arial" w:cs="Arial"/>
          <w:color w:val="010000"/>
          <w:sz w:val="20"/>
        </w:rPr>
        <w:t>VND</w:t>
      </w:r>
      <w:proofErr w:type="spellEnd"/>
      <w:r w:rsidRPr="00305F72">
        <w:rPr>
          <w:rFonts w:ascii="Arial" w:hAnsi="Arial" w:cs="Arial"/>
          <w:color w:val="010000"/>
          <w:sz w:val="20"/>
        </w:rPr>
        <w:t xml:space="preserve"> 3,524,745,440</w:t>
      </w:r>
    </w:p>
    <w:p w14:paraId="60E9903A" w14:textId="77777777" w:rsidR="00DB1479" w:rsidRPr="00305F72" w:rsidRDefault="00172AA0" w:rsidP="00305F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05F72">
        <w:rPr>
          <w:rFonts w:ascii="Arial" w:hAnsi="Arial" w:cs="Arial"/>
          <w:color w:val="010000"/>
          <w:sz w:val="20"/>
        </w:rPr>
        <w:t xml:space="preserve">Additional depreciation for additional fixed assets: </w:t>
      </w:r>
      <w:proofErr w:type="spellStart"/>
      <w:r w:rsidRPr="00305F72">
        <w:rPr>
          <w:rFonts w:ascii="Arial" w:hAnsi="Arial" w:cs="Arial"/>
          <w:color w:val="010000"/>
          <w:sz w:val="20"/>
        </w:rPr>
        <w:t>VND</w:t>
      </w:r>
      <w:proofErr w:type="spellEnd"/>
      <w:r w:rsidRPr="00305F72">
        <w:rPr>
          <w:rFonts w:ascii="Arial" w:hAnsi="Arial" w:cs="Arial"/>
          <w:color w:val="010000"/>
          <w:sz w:val="20"/>
        </w:rPr>
        <w:t xml:space="preserve"> 320,285,088</w:t>
      </w:r>
    </w:p>
    <w:p w14:paraId="60E9903B" w14:textId="40EBD9D1" w:rsidR="00DB1479" w:rsidRPr="00305F72" w:rsidRDefault="00172AA0" w:rsidP="00305F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05F72">
        <w:rPr>
          <w:rFonts w:ascii="Arial" w:hAnsi="Arial" w:cs="Arial"/>
          <w:color w:val="010000"/>
          <w:sz w:val="20"/>
        </w:rPr>
        <w:t xml:space="preserve">Total profit before tax increased by </w:t>
      </w:r>
      <w:proofErr w:type="spellStart"/>
      <w:r w:rsidRPr="00305F72">
        <w:rPr>
          <w:rFonts w:ascii="Arial" w:hAnsi="Arial" w:cs="Arial"/>
          <w:color w:val="010000"/>
          <w:sz w:val="20"/>
        </w:rPr>
        <w:t>VND</w:t>
      </w:r>
      <w:proofErr w:type="spellEnd"/>
      <w:r w:rsidR="00305F72" w:rsidRPr="00305F72">
        <w:rPr>
          <w:rFonts w:ascii="Arial" w:hAnsi="Arial" w:cs="Arial"/>
          <w:color w:val="010000"/>
          <w:sz w:val="20"/>
        </w:rPr>
        <w:t xml:space="preserve"> </w:t>
      </w:r>
      <w:r w:rsidRPr="00305F72">
        <w:rPr>
          <w:rFonts w:ascii="Arial" w:hAnsi="Arial" w:cs="Arial"/>
          <w:color w:val="010000"/>
          <w:sz w:val="20"/>
        </w:rPr>
        <w:t xml:space="preserve">3,204,460,352 due to the above expense adjustment </w:t>
      </w:r>
      <w:proofErr w:type="gramStart"/>
      <w:r w:rsidRPr="00305F72">
        <w:rPr>
          <w:rFonts w:ascii="Arial" w:hAnsi="Arial" w:cs="Arial"/>
          <w:color w:val="010000"/>
          <w:sz w:val="20"/>
        </w:rPr>
        <w:t>according</w:t>
      </w:r>
      <w:proofErr w:type="gramEnd"/>
      <w:r w:rsidRPr="00305F72">
        <w:rPr>
          <w:rFonts w:ascii="Arial" w:hAnsi="Arial" w:cs="Arial"/>
          <w:color w:val="010000"/>
          <w:sz w:val="20"/>
        </w:rPr>
        <w:t xml:space="preserve"> to the recommendation of the State Audit.</w:t>
      </w:r>
    </w:p>
    <w:p w14:paraId="60E9903C" w14:textId="77777777" w:rsidR="00DB1479" w:rsidRPr="00305F72" w:rsidRDefault="00172AA0" w:rsidP="00305F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305F72">
        <w:rPr>
          <w:rFonts w:ascii="Arial" w:hAnsi="Arial" w:cs="Arial"/>
          <w:color w:val="010000"/>
          <w:sz w:val="20"/>
        </w:rPr>
        <w:t xml:space="preserve">Current corporate income tax expense increased by </w:t>
      </w:r>
      <w:proofErr w:type="spellStart"/>
      <w:r w:rsidRPr="00305F72">
        <w:rPr>
          <w:rFonts w:ascii="Arial" w:hAnsi="Arial" w:cs="Arial"/>
          <w:color w:val="010000"/>
          <w:sz w:val="20"/>
        </w:rPr>
        <w:t>VND</w:t>
      </w:r>
      <w:proofErr w:type="spellEnd"/>
      <w:r w:rsidRPr="00305F72">
        <w:rPr>
          <w:rFonts w:ascii="Arial" w:hAnsi="Arial" w:cs="Arial"/>
          <w:color w:val="010000"/>
          <w:sz w:val="20"/>
        </w:rPr>
        <w:t xml:space="preserve"> 160,223,018 due to additional corporate income tax on the increased profit due to adjusting entries according to the recommendation of the State Audit.</w:t>
      </w:r>
    </w:p>
    <w:p w14:paraId="60E9903D" w14:textId="77777777" w:rsidR="00DB1479" w:rsidRPr="00305F72" w:rsidRDefault="00172AA0" w:rsidP="00305F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305F72">
        <w:rPr>
          <w:rFonts w:ascii="Arial" w:hAnsi="Arial" w:cs="Arial"/>
          <w:color w:val="010000"/>
          <w:sz w:val="20"/>
        </w:rPr>
        <w:t xml:space="preserve">Profit after tax increased by </w:t>
      </w:r>
      <w:proofErr w:type="spellStart"/>
      <w:r w:rsidRPr="00305F72">
        <w:rPr>
          <w:rFonts w:ascii="Arial" w:hAnsi="Arial" w:cs="Arial"/>
          <w:color w:val="010000"/>
          <w:sz w:val="20"/>
        </w:rPr>
        <w:t>VND</w:t>
      </w:r>
      <w:proofErr w:type="spellEnd"/>
      <w:r w:rsidRPr="00305F72">
        <w:rPr>
          <w:rFonts w:ascii="Arial" w:hAnsi="Arial" w:cs="Arial"/>
          <w:color w:val="010000"/>
          <w:sz w:val="20"/>
        </w:rPr>
        <w:t xml:space="preserve"> 3,044,237,334 due to redefining business results influenced by adjusted accounting entries according to the recommendation of the State Audit.</w:t>
      </w:r>
    </w:p>
    <w:sectPr w:rsidR="00DB1479" w:rsidRPr="00305F72" w:rsidSect="00305F72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002E0"/>
    <w:multiLevelType w:val="multilevel"/>
    <w:tmpl w:val="A840302C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B454DA5"/>
    <w:multiLevelType w:val="multilevel"/>
    <w:tmpl w:val="21D64F54"/>
    <w:lvl w:ilvl="0">
      <w:start w:val="1"/>
      <w:numFmt w:val="decimal"/>
      <w:lvlText w:val="%1/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79"/>
    <w:rsid w:val="00172AA0"/>
    <w:rsid w:val="00305F72"/>
    <w:rsid w:val="00DB1479"/>
    <w:rsid w:val="00E07B9A"/>
    <w:rsid w:val="00F8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E99000"/>
  <w15:docId w15:val="{52333AC7-699F-4115-9D85-04EEF7BE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color w:val="636363"/>
      <w:sz w:val="17"/>
      <w:szCs w:val="17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36363"/>
      <w:sz w:val="22"/>
      <w:szCs w:val="2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36363"/>
      <w:sz w:val="22"/>
      <w:szCs w:val="2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36363"/>
      <w:sz w:val="22"/>
      <w:szCs w:val="22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95" w:lineRule="auto"/>
    </w:pPr>
    <w:rPr>
      <w:rFonts w:ascii="Arial" w:eastAsia="Arial" w:hAnsi="Arial" w:cs="Arial"/>
      <w:color w:val="636363"/>
      <w:sz w:val="17"/>
      <w:szCs w:val="17"/>
    </w:rPr>
  </w:style>
  <w:style w:type="paragraph" w:customStyle="1" w:styleId="Vnbnnidung0">
    <w:name w:val="Văn bản nội dung"/>
    <w:basedOn w:val="Normal"/>
    <w:link w:val="Vnbnnidung"/>
    <w:pPr>
      <w:spacing w:line="259" w:lineRule="auto"/>
    </w:pPr>
    <w:rPr>
      <w:rFonts w:ascii="Times New Roman" w:eastAsia="Times New Roman" w:hAnsi="Times New Roman" w:cs="Times New Roman"/>
      <w:color w:val="636363"/>
      <w:sz w:val="22"/>
      <w:szCs w:val="22"/>
    </w:rPr>
  </w:style>
  <w:style w:type="paragraph" w:customStyle="1" w:styleId="Vnbnnidung40">
    <w:name w:val="Văn bản nội dung (4)"/>
    <w:basedOn w:val="Normal"/>
    <w:link w:val="Vnbnnidung4"/>
    <w:pPr>
      <w:spacing w:line="197" w:lineRule="auto"/>
      <w:jc w:val="center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Vnbnnidung30">
    <w:name w:val="Văn bản nội dung (3)"/>
    <w:basedOn w:val="Normal"/>
    <w:link w:val="Vnbnnidung3"/>
    <w:pPr>
      <w:spacing w:line="185" w:lineRule="auto"/>
      <w:jc w:val="center"/>
    </w:pPr>
    <w:rPr>
      <w:rFonts w:ascii="Tahoma" w:eastAsia="Tahoma" w:hAnsi="Tahoma" w:cs="Tahoma"/>
      <w:sz w:val="15"/>
      <w:szCs w:val="15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color w:val="636363"/>
      <w:sz w:val="22"/>
      <w:szCs w:val="22"/>
    </w:rPr>
  </w:style>
  <w:style w:type="paragraph" w:customStyle="1" w:styleId="Khc0">
    <w:name w:val="Khác"/>
    <w:basedOn w:val="Normal"/>
    <w:link w:val="Khc"/>
    <w:pPr>
      <w:spacing w:line="259" w:lineRule="auto"/>
    </w:pPr>
    <w:rPr>
      <w:rFonts w:ascii="Times New Roman" w:eastAsia="Times New Roman" w:hAnsi="Times New Roman" w:cs="Times New Roman"/>
      <w:color w:val="636363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lfg5XahQVMvNFKCAr4UyiP536Q==">CgMxLjAyCGguZ2pkZ3hzOAByITFldmZDbzFTdzBIelZPYU5CVXZRWTRKU1M4WlZNbHVyTg==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 Kiều</dc:creator>
  <cp:lastModifiedBy>Nguyen Thi Thu Giang</cp:lastModifiedBy>
  <cp:revision>2</cp:revision>
  <dcterms:created xsi:type="dcterms:W3CDTF">2024-01-25T03:45:00Z</dcterms:created>
  <dcterms:modified xsi:type="dcterms:W3CDTF">2024-01-25T03:45:00Z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d342f8d73d22a2a95233ed1bf64d6f7cdfb84788d8be37ec9f1ae20ee09300ca</vt:lpwstr>
  </property>
</Properties>
</file>