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47A4" w14:textId="77777777" w:rsidR="00147AE1" w:rsidRPr="00055479" w:rsidRDefault="00147AE1" w:rsidP="00055479">
      <w:pPr>
        <w:pStyle w:val="BodyText"/>
        <w:tabs>
          <w:tab w:val="left" w:pos="5736"/>
        </w:tabs>
        <w:spacing w:after="120" w:line="360" w:lineRule="auto"/>
        <w:rPr>
          <w:rFonts w:ascii="Arial" w:hAnsi="Arial" w:cs="Arial"/>
          <w:b/>
          <w:bCs/>
          <w:color w:val="010000"/>
          <w:sz w:val="20"/>
          <w:szCs w:val="24"/>
        </w:rPr>
      </w:pPr>
      <w:bookmarkStart w:id="0" w:name="_GoBack"/>
      <w:bookmarkEnd w:id="0"/>
      <w:r w:rsidRPr="00055479">
        <w:rPr>
          <w:rFonts w:ascii="Arial" w:hAnsi="Arial" w:cs="Arial"/>
          <w:b/>
          <w:color w:val="010000"/>
          <w:sz w:val="20"/>
        </w:rPr>
        <w:t>DBM: Board Resolution</w:t>
      </w:r>
    </w:p>
    <w:p w14:paraId="5B340735" w14:textId="749991E6" w:rsidR="00147AE1" w:rsidRPr="00055479" w:rsidRDefault="00147AE1" w:rsidP="00055479">
      <w:pPr>
        <w:pStyle w:val="BodyText"/>
        <w:tabs>
          <w:tab w:val="left" w:pos="5736"/>
        </w:tabs>
        <w:spacing w:after="120" w:line="360" w:lineRule="auto"/>
        <w:rPr>
          <w:rFonts w:ascii="Arial" w:hAnsi="Arial" w:cs="Arial"/>
          <w:bCs/>
          <w:color w:val="010000"/>
          <w:sz w:val="20"/>
          <w:szCs w:val="24"/>
        </w:rPr>
      </w:pPr>
      <w:r w:rsidRPr="00055479">
        <w:rPr>
          <w:rFonts w:ascii="Arial" w:hAnsi="Arial" w:cs="Arial"/>
          <w:color w:val="010000"/>
          <w:sz w:val="20"/>
        </w:rPr>
        <w:t>On January 22, 2024, DakLak Pharmaceutical Medical Equipment JSC announced Resolution No. 01/2024/NQ-HDQT on the investment in repairing the General Warehouse and investing in the Pharmaceutical and Medical Equipment Commercial Center as follows:</w:t>
      </w:r>
    </w:p>
    <w:p w14:paraId="47992152" w14:textId="6BBB7603" w:rsidR="00EC1F8D" w:rsidRPr="00055479" w:rsidRDefault="00006CBE" w:rsidP="00055479">
      <w:pPr>
        <w:pStyle w:val="BodyText"/>
        <w:spacing w:after="120" w:line="360" w:lineRule="auto"/>
        <w:rPr>
          <w:rFonts w:ascii="Arial" w:hAnsi="Arial" w:cs="Arial"/>
          <w:color w:val="010000"/>
          <w:sz w:val="20"/>
        </w:rPr>
      </w:pPr>
      <w:r w:rsidRPr="00055479">
        <w:rPr>
          <w:rFonts w:ascii="Arial" w:hAnsi="Arial" w:cs="Arial"/>
          <w:color w:val="010000"/>
          <w:sz w:val="20"/>
        </w:rPr>
        <w:t xml:space="preserve">‎‎Article 1. The Board of Directors approves Proposal No. 01/2024/TT-TGD dated January 21, 2024 of the General Manager on requesting </w:t>
      </w:r>
      <w:r w:rsidR="00055479" w:rsidRPr="00055479">
        <w:rPr>
          <w:rFonts w:ascii="Arial" w:hAnsi="Arial" w:cs="Arial"/>
          <w:color w:val="010000"/>
          <w:sz w:val="20"/>
        </w:rPr>
        <w:t xml:space="preserve">an </w:t>
      </w:r>
      <w:r w:rsidRPr="00055479">
        <w:rPr>
          <w:rFonts w:ascii="Arial" w:hAnsi="Arial" w:cs="Arial"/>
          <w:color w:val="010000"/>
          <w:sz w:val="20"/>
        </w:rPr>
        <w:t>investment policy of repairing the General Warehouse and investing in the Pharmaceutical and Medical Equipment Commercial Center as follows:</w:t>
      </w:r>
    </w:p>
    <w:p w14:paraId="58A01A2F" w14:textId="77777777" w:rsidR="00EC1F8D" w:rsidRPr="00055479" w:rsidRDefault="00006CBE" w:rsidP="00055479">
      <w:pPr>
        <w:pStyle w:val="BodyText"/>
        <w:numPr>
          <w:ilvl w:val="0"/>
          <w:numId w:val="3"/>
        </w:numPr>
        <w:tabs>
          <w:tab w:val="left" w:pos="432"/>
          <w:tab w:val="left" w:pos="1075"/>
        </w:tabs>
        <w:spacing w:after="120" w:line="360" w:lineRule="auto"/>
        <w:rPr>
          <w:rFonts w:ascii="Arial" w:hAnsi="Arial" w:cs="Arial"/>
          <w:color w:val="010000"/>
          <w:sz w:val="20"/>
        </w:rPr>
      </w:pPr>
      <w:r w:rsidRPr="00055479">
        <w:rPr>
          <w:rFonts w:ascii="Arial" w:hAnsi="Arial" w:cs="Arial"/>
          <w:color w:val="010000"/>
          <w:sz w:val="20"/>
        </w:rPr>
        <w:t xml:space="preserve">Repair and upgrade the operating house at the General Warehouse (70 Ngo Gia Tu, Tan An Ward, Buon Ma Thuot City, Dak Lak Province). </w:t>
      </w:r>
    </w:p>
    <w:p w14:paraId="11195D49" w14:textId="77777777" w:rsidR="00EC1F8D" w:rsidRPr="00055479" w:rsidRDefault="00006CBE" w:rsidP="00055479">
      <w:pPr>
        <w:pStyle w:val="BodyText"/>
        <w:numPr>
          <w:ilvl w:val="0"/>
          <w:numId w:val="3"/>
        </w:numPr>
        <w:tabs>
          <w:tab w:val="left" w:pos="432"/>
          <w:tab w:val="left" w:pos="1102"/>
        </w:tabs>
        <w:spacing w:after="120" w:line="360" w:lineRule="auto"/>
        <w:rPr>
          <w:rFonts w:ascii="Arial" w:hAnsi="Arial" w:cs="Arial"/>
          <w:color w:val="010000"/>
          <w:sz w:val="20"/>
        </w:rPr>
      </w:pPr>
      <w:r w:rsidRPr="00055479">
        <w:rPr>
          <w:rFonts w:ascii="Arial" w:hAnsi="Arial" w:cs="Arial"/>
          <w:color w:val="010000"/>
          <w:sz w:val="20"/>
        </w:rPr>
        <w:t>Investing in the construction of a Pharmaceutical and Medical Equipment Commercial Center (on the old warehouse foundation).</w:t>
      </w:r>
    </w:p>
    <w:p w14:paraId="151C75B1" w14:textId="725E36A4" w:rsidR="00EC1F8D" w:rsidRPr="00055479" w:rsidRDefault="00006CBE" w:rsidP="00055479">
      <w:pPr>
        <w:pStyle w:val="BodyText"/>
        <w:spacing w:after="120" w:line="360" w:lineRule="auto"/>
        <w:rPr>
          <w:rFonts w:ascii="Arial" w:hAnsi="Arial" w:cs="Arial"/>
          <w:color w:val="010000"/>
          <w:sz w:val="20"/>
        </w:rPr>
      </w:pPr>
      <w:r w:rsidRPr="00055479">
        <w:rPr>
          <w:rFonts w:ascii="Arial" w:hAnsi="Arial" w:cs="Arial"/>
          <w:color w:val="010000"/>
          <w:sz w:val="20"/>
        </w:rPr>
        <w:t>Expected total expenses: VND 20,000,000,000</w:t>
      </w:r>
    </w:p>
    <w:p w14:paraId="7FDBB54E" w14:textId="77777777" w:rsidR="00EC1F8D" w:rsidRPr="00055479" w:rsidRDefault="00006CBE" w:rsidP="00055479">
      <w:pPr>
        <w:pStyle w:val="BodyText"/>
        <w:spacing w:after="120" w:line="360" w:lineRule="auto"/>
        <w:rPr>
          <w:rFonts w:ascii="Arial" w:hAnsi="Arial" w:cs="Arial"/>
          <w:color w:val="010000"/>
          <w:sz w:val="20"/>
        </w:rPr>
      </w:pPr>
      <w:r w:rsidRPr="00055479">
        <w:rPr>
          <w:rFonts w:ascii="Arial" w:hAnsi="Arial" w:cs="Arial"/>
          <w:color w:val="010000"/>
          <w:sz w:val="20"/>
        </w:rPr>
        <w:t>‎‎Article 2. Assign the General Manager to include the above plan in the investment and repair plan for 2024 and sign the investment and repair contract. Report the above contents in the next General Meeting of Shareholders.</w:t>
      </w:r>
    </w:p>
    <w:p w14:paraId="2AC75F68" w14:textId="77777777" w:rsidR="00EC1F8D" w:rsidRPr="00055479" w:rsidRDefault="00006CBE" w:rsidP="00055479">
      <w:pPr>
        <w:pStyle w:val="BodyText"/>
        <w:spacing w:after="120" w:line="360" w:lineRule="auto"/>
        <w:rPr>
          <w:rFonts w:ascii="Arial" w:hAnsi="Arial" w:cs="Arial"/>
          <w:color w:val="010000"/>
          <w:sz w:val="20"/>
        </w:rPr>
      </w:pPr>
      <w:r w:rsidRPr="00055479">
        <w:rPr>
          <w:rFonts w:ascii="Arial" w:hAnsi="Arial" w:cs="Arial"/>
          <w:color w:val="010000"/>
          <w:sz w:val="20"/>
        </w:rPr>
        <w:t>This Resolution takes effect from the date of its signing.</w:t>
      </w:r>
    </w:p>
    <w:p w14:paraId="3DA3EC2D" w14:textId="22534491" w:rsidR="00EC1F8D" w:rsidRPr="00055479" w:rsidRDefault="00006CBE" w:rsidP="00055479">
      <w:pPr>
        <w:pStyle w:val="BodyText"/>
        <w:spacing w:after="120" w:line="360" w:lineRule="auto"/>
        <w:rPr>
          <w:rFonts w:ascii="Arial" w:hAnsi="Arial" w:cs="Arial"/>
          <w:color w:val="010000"/>
          <w:sz w:val="20"/>
        </w:rPr>
      </w:pPr>
      <w:r w:rsidRPr="00055479">
        <w:rPr>
          <w:rFonts w:ascii="Arial" w:hAnsi="Arial" w:cs="Arial"/>
          <w:color w:val="010000"/>
          <w:sz w:val="20"/>
        </w:rPr>
        <w:t>‎‎Article 3. Members of the Board of Directors, the Executive Board of the Company and other relevant units are responsible for the implementation of this Board Resolution.</w:t>
      </w:r>
    </w:p>
    <w:sectPr w:rsidR="00EC1F8D" w:rsidRPr="00055479" w:rsidSect="00055479">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FABE6" w14:textId="77777777" w:rsidR="00407D7C" w:rsidRDefault="00407D7C">
      <w:r>
        <w:separator/>
      </w:r>
    </w:p>
  </w:endnote>
  <w:endnote w:type="continuationSeparator" w:id="0">
    <w:p w14:paraId="0500A670" w14:textId="77777777" w:rsidR="00407D7C" w:rsidRDefault="0040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920F" w14:textId="77777777" w:rsidR="00407D7C" w:rsidRDefault="00407D7C"/>
  </w:footnote>
  <w:footnote w:type="continuationSeparator" w:id="0">
    <w:p w14:paraId="65850108" w14:textId="77777777" w:rsidR="00407D7C" w:rsidRDefault="00407D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A3F0D"/>
    <w:multiLevelType w:val="multilevel"/>
    <w:tmpl w:val="21C01490"/>
    <w:lvl w:ilvl="0">
      <w:start w:val="1"/>
      <w:numFmt w:val="decimal"/>
      <w:lvlText w:val="%1."/>
      <w:lvlJc w:val="left"/>
      <w:rPr>
        <w:rFonts w:ascii="Arial" w:eastAsia="Times New Roman" w:hAnsi="Arial" w:cs="Arial"/>
        <w:b w:val="0"/>
        <w:bCs w:val="0"/>
        <w:i w:val="0"/>
        <w:iCs w:val="0"/>
        <w:smallCaps w:val="0"/>
        <w:strike w:val="0"/>
        <w:color w:val="324049"/>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FE4FF9"/>
    <w:multiLevelType w:val="multilevel"/>
    <w:tmpl w:val="9DB832AE"/>
    <w:lvl w:ilvl="0">
      <w:start w:val="1"/>
      <w:numFmt w:val="bullet"/>
      <w:lvlText w:val="-"/>
      <w:lvlJc w:val="left"/>
      <w:rPr>
        <w:rFonts w:ascii="Arial" w:eastAsia="Times New Roman" w:hAnsi="Arial" w:cs="Arial"/>
        <w:b w:val="0"/>
        <w:bCs w:val="0"/>
        <w:i w:val="0"/>
        <w:iCs/>
        <w:smallCaps w:val="0"/>
        <w:strike w:val="0"/>
        <w:color w:val="324049"/>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192C04"/>
    <w:multiLevelType w:val="multilevel"/>
    <w:tmpl w:val="246A4BA2"/>
    <w:lvl w:ilvl="0">
      <w:start w:val="1"/>
      <w:numFmt w:val="bullet"/>
      <w:lvlText w:val="-"/>
      <w:lvlJc w:val="left"/>
      <w:rPr>
        <w:rFonts w:ascii="Arial" w:eastAsia="Times New Roman" w:hAnsi="Arial" w:cs="Arial"/>
        <w:b w:val="0"/>
        <w:bCs w:val="0"/>
        <w:i w:val="0"/>
        <w:iCs/>
        <w:smallCaps w:val="0"/>
        <w:strike w:val="0"/>
        <w:color w:val="324049"/>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8D"/>
    <w:rsid w:val="00006CBE"/>
    <w:rsid w:val="00055479"/>
    <w:rsid w:val="00147AE1"/>
    <w:rsid w:val="0015169E"/>
    <w:rsid w:val="00407D7C"/>
    <w:rsid w:val="005F0C2C"/>
    <w:rsid w:val="00C73B91"/>
    <w:rsid w:val="00E62A0A"/>
    <w:rsid w:val="00EC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6A0B6"/>
  <w15:docId w15:val="{D14D1385-2714-431F-9CC0-8582401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324049"/>
      <w:sz w:val="30"/>
      <w:szCs w:val="3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F6188"/>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324049"/>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24049"/>
      <w:sz w:val="26"/>
      <w:szCs w:val="26"/>
      <w:u w:val="none"/>
      <w:shd w:val="clear" w:color="auto" w:fill="auto"/>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color w:val="DF6188"/>
      <w:sz w:val="24"/>
      <w:szCs w:val="2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F6188"/>
      <w:sz w:val="32"/>
      <w:szCs w:val="32"/>
      <w:u w:val="none"/>
      <w:shd w:val="clear" w:color="auto" w:fill="auto"/>
    </w:rPr>
  </w:style>
  <w:style w:type="paragraph" w:customStyle="1" w:styleId="Bodytext20">
    <w:name w:val="Body text (2)"/>
    <w:basedOn w:val="Normal"/>
    <w:link w:val="Bodytext2"/>
    <w:pPr>
      <w:spacing w:line="295" w:lineRule="auto"/>
      <w:ind w:left="310"/>
      <w:jc w:val="center"/>
    </w:pPr>
    <w:rPr>
      <w:rFonts w:ascii="Times New Roman" w:eastAsia="Times New Roman" w:hAnsi="Times New Roman" w:cs="Times New Roman"/>
      <w:b/>
      <w:bCs/>
      <w:color w:val="324049"/>
      <w:sz w:val="30"/>
      <w:szCs w:val="30"/>
    </w:rPr>
  </w:style>
  <w:style w:type="paragraph" w:customStyle="1" w:styleId="Bodytext60">
    <w:name w:val="Body text (6)"/>
    <w:basedOn w:val="Normal"/>
    <w:link w:val="Bodytext6"/>
    <w:pPr>
      <w:spacing w:line="262" w:lineRule="auto"/>
      <w:ind w:firstLine="620"/>
    </w:pPr>
    <w:rPr>
      <w:rFonts w:ascii="Arial" w:eastAsia="Arial" w:hAnsi="Arial" w:cs="Arial"/>
      <w:color w:val="DF6188"/>
      <w:sz w:val="26"/>
      <w:szCs w:val="26"/>
    </w:rPr>
  </w:style>
  <w:style w:type="paragraph" w:customStyle="1" w:styleId="Bodytext30">
    <w:name w:val="Body text (3)"/>
    <w:basedOn w:val="Normal"/>
    <w:link w:val="Bodytext3"/>
    <w:pPr>
      <w:ind w:firstLine="180"/>
    </w:pPr>
    <w:rPr>
      <w:rFonts w:ascii="Times New Roman" w:eastAsia="Times New Roman" w:hAnsi="Times New Roman" w:cs="Times New Roman"/>
      <w:i/>
      <w:iCs/>
      <w:color w:val="324049"/>
      <w:sz w:val="20"/>
      <w:szCs w:val="20"/>
    </w:rPr>
  </w:style>
  <w:style w:type="paragraph" w:styleId="BodyText">
    <w:name w:val="Body Text"/>
    <w:basedOn w:val="Normal"/>
    <w:link w:val="BodyTextChar"/>
    <w:qFormat/>
    <w:pPr>
      <w:spacing w:line="288" w:lineRule="auto"/>
    </w:pPr>
    <w:rPr>
      <w:rFonts w:ascii="Times New Roman" w:eastAsia="Times New Roman" w:hAnsi="Times New Roman" w:cs="Times New Roman"/>
      <w:color w:val="324049"/>
      <w:sz w:val="26"/>
      <w:szCs w:val="26"/>
    </w:rPr>
  </w:style>
  <w:style w:type="paragraph" w:customStyle="1" w:styleId="Bodytext50">
    <w:name w:val="Body text (5)"/>
    <w:basedOn w:val="Normal"/>
    <w:link w:val="Bodytext5"/>
    <w:pPr>
      <w:ind w:left="2040"/>
    </w:pPr>
    <w:rPr>
      <w:rFonts w:ascii="Tahoma" w:eastAsia="Tahoma" w:hAnsi="Tahoma" w:cs="Tahoma"/>
      <w:color w:val="DF6188"/>
    </w:rPr>
  </w:style>
  <w:style w:type="paragraph" w:customStyle="1" w:styleId="Bodytext40">
    <w:name w:val="Body text (4)"/>
    <w:basedOn w:val="Normal"/>
    <w:link w:val="Bodytext4"/>
    <w:pPr>
      <w:spacing w:line="192" w:lineRule="auto"/>
      <w:ind w:left="2580"/>
    </w:pPr>
    <w:rPr>
      <w:rFonts w:ascii="Arial" w:eastAsia="Arial" w:hAnsi="Arial" w:cs="Arial"/>
      <w:color w:val="DF618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2024-01-29T06:15:00Z</dcterms:created>
  <dcterms:modified xsi:type="dcterms:W3CDTF">2024-01-29T06:15:00Z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92d5ba9dd89d7ac72db15979b501fbcb62bc5f1641562fda165b4b969208d870</vt:lpwstr>
  </property>
</Properties>
</file>