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C2F6" w14:textId="77777777" w:rsidR="00A14C2A" w:rsidRPr="00E07E70" w:rsidRDefault="00A14C2A" w:rsidP="002D4794">
      <w:pPr>
        <w:pStyle w:val="BodyText"/>
        <w:tabs>
          <w:tab w:val="left" w:pos="360"/>
          <w:tab w:val="left" w:pos="5217"/>
        </w:tabs>
        <w:spacing w:after="120" w:line="360" w:lineRule="auto"/>
        <w:ind w:firstLine="0"/>
        <w:rPr>
          <w:rFonts w:ascii="Arial" w:hAnsi="Arial" w:cs="Arial"/>
          <w:b/>
          <w:bCs/>
          <w:color w:val="010000"/>
          <w:sz w:val="20"/>
        </w:rPr>
      </w:pPr>
      <w:bookmarkStart w:id="0" w:name="_GoBack"/>
      <w:bookmarkEnd w:id="0"/>
      <w:r w:rsidRPr="00E07E70">
        <w:rPr>
          <w:rFonts w:ascii="Arial" w:hAnsi="Arial" w:cs="Arial"/>
          <w:b/>
          <w:color w:val="010000"/>
          <w:sz w:val="20"/>
        </w:rPr>
        <w:t>DRI: Board Resolution</w:t>
      </w:r>
    </w:p>
    <w:p w14:paraId="15CAF626" w14:textId="64095C27" w:rsidR="00A14C2A" w:rsidRPr="00E07E70" w:rsidRDefault="00A14C2A" w:rsidP="002D4794">
      <w:pPr>
        <w:pStyle w:val="BodyText"/>
        <w:tabs>
          <w:tab w:val="left" w:pos="360"/>
          <w:tab w:val="left" w:pos="5217"/>
        </w:tabs>
        <w:spacing w:after="120" w:line="360" w:lineRule="auto"/>
        <w:ind w:firstLine="0"/>
        <w:rPr>
          <w:rFonts w:ascii="Arial" w:hAnsi="Arial" w:cs="Arial"/>
          <w:bCs/>
          <w:color w:val="010000"/>
          <w:sz w:val="20"/>
        </w:rPr>
      </w:pPr>
      <w:r w:rsidRPr="00E07E70">
        <w:rPr>
          <w:rFonts w:ascii="Arial" w:hAnsi="Arial" w:cs="Arial"/>
          <w:color w:val="010000"/>
          <w:sz w:val="20"/>
        </w:rPr>
        <w:t>On January 23, 2024, Dak Lak Rubber Investment Joint Stock Company announced Resolution No. 01/NQ-HDQT as follows:</w:t>
      </w:r>
    </w:p>
    <w:p w14:paraId="2D6A4805" w14:textId="77777777" w:rsidR="00DC1E53" w:rsidRPr="00E07E70" w:rsidRDefault="00281FE0" w:rsidP="002D4794">
      <w:pPr>
        <w:pStyle w:val="BodyText"/>
        <w:tabs>
          <w:tab w:val="left" w:pos="360"/>
        </w:tabs>
        <w:spacing w:after="120" w:line="360" w:lineRule="auto"/>
        <w:ind w:firstLine="0"/>
        <w:rPr>
          <w:rFonts w:ascii="Arial" w:hAnsi="Arial" w:cs="Arial"/>
          <w:color w:val="010000"/>
          <w:sz w:val="20"/>
        </w:rPr>
      </w:pPr>
      <w:r w:rsidRPr="00E07E70">
        <w:rPr>
          <w:rFonts w:ascii="Arial" w:hAnsi="Arial" w:cs="Arial"/>
          <w:color w:val="010000"/>
          <w:sz w:val="20"/>
        </w:rPr>
        <w:t>‎‎Article 1. Agree to amend Article 8, Article 9, Chapter III of the Regulations on selecting procurement contractors in production and business activities and maintaining regular operations of Dak Lak Rubber Investment Joint Stock Company and its subsidiaries, promulgated under Decision No. 54/QD-HDQT dated October 22, 2020, specifically:</w:t>
      </w:r>
    </w:p>
    <w:p w14:paraId="6159AE2C" w14:textId="77777777" w:rsidR="00DC1E53" w:rsidRPr="00E07E70" w:rsidRDefault="00281FE0" w:rsidP="002D4794">
      <w:pPr>
        <w:pStyle w:val="BodyText"/>
        <w:numPr>
          <w:ilvl w:val="0"/>
          <w:numId w:val="3"/>
        </w:numPr>
        <w:tabs>
          <w:tab w:val="left" w:pos="360"/>
          <w:tab w:val="left" w:pos="1069"/>
        </w:tabs>
        <w:spacing w:after="120" w:line="360" w:lineRule="auto"/>
        <w:ind w:firstLine="0"/>
        <w:rPr>
          <w:rFonts w:ascii="Arial" w:hAnsi="Arial" w:cs="Arial"/>
          <w:color w:val="010000"/>
          <w:sz w:val="20"/>
        </w:rPr>
      </w:pPr>
      <w:r w:rsidRPr="00E07E70">
        <w:rPr>
          <w:rFonts w:ascii="Arial" w:hAnsi="Arial" w:cs="Arial"/>
          <w:color w:val="010000"/>
          <w:sz w:val="20"/>
        </w:rPr>
        <w:t>Adjusted contents:</w:t>
      </w:r>
    </w:p>
    <w:p w14:paraId="487BBD54" w14:textId="77777777" w:rsidR="00DC1E53" w:rsidRPr="00E07E70" w:rsidRDefault="00281FE0" w:rsidP="002D4794">
      <w:pPr>
        <w:pStyle w:val="BodyText"/>
        <w:numPr>
          <w:ilvl w:val="1"/>
          <w:numId w:val="3"/>
        </w:numPr>
        <w:tabs>
          <w:tab w:val="left" w:pos="360"/>
          <w:tab w:val="left" w:pos="1260"/>
        </w:tabs>
        <w:spacing w:after="120" w:line="360" w:lineRule="auto"/>
        <w:ind w:firstLine="0"/>
        <w:rPr>
          <w:rFonts w:ascii="Arial" w:hAnsi="Arial" w:cs="Arial"/>
          <w:color w:val="010000"/>
          <w:sz w:val="20"/>
        </w:rPr>
      </w:pPr>
      <w:r w:rsidRPr="00E07E70">
        <w:rPr>
          <w:rFonts w:ascii="Arial" w:hAnsi="Arial" w:cs="Arial"/>
          <w:color w:val="010000"/>
          <w:sz w:val="20"/>
        </w:rPr>
        <w:t>Clause 2, Article 8 “Obtaining competitive quotes”:</w:t>
      </w:r>
    </w:p>
    <w:p w14:paraId="4E1B1635" w14:textId="77777777" w:rsidR="00DC1E53" w:rsidRPr="00E07E70" w:rsidRDefault="00281FE0" w:rsidP="002D4794">
      <w:pPr>
        <w:pStyle w:val="BodyText"/>
        <w:numPr>
          <w:ilvl w:val="0"/>
          <w:numId w:val="4"/>
        </w:numPr>
        <w:tabs>
          <w:tab w:val="left" w:pos="360"/>
          <w:tab w:val="left" w:pos="1064"/>
        </w:tabs>
        <w:spacing w:after="120" w:line="360" w:lineRule="auto"/>
        <w:ind w:firstLine="0"/>
        <w:rPr>
          <w:rFonts w:ascii="Arial" w:hAnsi="Arial" w:cs="Arial"/>
          <w:color w:val="010000"/>
          <w:sz w:val="20"/>
        </w:rPr>
      </w:pPr>
      <w:r w:rsidRPr="00E07E70">
        <w:rPr>
          <w:rFonts w:ascii="Arial" w:hAnsi="Arial" w:cs="Arial"/>
          <w:color w:val="010000"/>
          <w:sz w:val="20"/>
        </w:rPr>
        <w:t>Common, simple consulting and non-consulting services with a value of no more than VND 500 million (for companies in Vietnam) or equivalent to VND 500 million when converted into LAK at the prevailing exchange rate (for Subsidiaries in Laos).</w:t>
      </w:r>
    </w:p>
    <w:p w14:paraId="002FCF2B" w14:textId="68A4FA4C" w:rsidR="00DC1E53" w:rsidRPr="00E07E70" w:rsidRDefault="00281FE0" w:rsidP="002D4794">
      <w:pPr>
        <w:pStyle w:val="BodyText"/>
        <w:numPr>
          <w:ilvl w:val="0"/>
          <w:numId w:val="4"/>
        </w:numPr>
        <w:tabs>
          <w:tab w:val="left" w:pos="360"/>
          <w:tab w:val="left" w:pos="1083"/>
        </w:tabs>
        <w:spacing w:after="120" w:line="360" w:lineRule="auto"/>
        <w:ind w:firstLine="0"/>
        <w:rPr>
          <w:rFonts w:ascii="Arial" w:hAnsi="Arial" w:cs="Arial"/>
          <w:color w:val="010000"/>
          <w:sz w:val="20"/>
        </w:rPr>
      </w:pPr>
      <w:r w:rsidRPr="00E07E70">
        <w:rPr>
          <w:rFonts w:ascii="Arial" w:hAnsi="Arial" w:cs="Arial"/>
          <w:color w:val="010000"/>
          <w:sz w:val="20"/>
        </w:rPr>
        <w:t xml:space="preserve">Purchasing goods, assets, and services that are common (used by many people and with a guaranteed, stable source of supply); are available on the market (goods are delivered immediately when needed, not through ordering for design, processing, manufacturing, or production); have standardized technical characteristics (according to Vietnamese standards, </w:t>
      </w:r>
      <w:r w:rsidR="00E07E70" w:rsidRPr="00E07E70">
        <w:rPr>
          <w:rFonts w:ascii="Arial" w:hAnsi="Arial" w:cs="Arial"/>
          <w:color w:val="010000"/>
          <w:sz w:val="20"/>
        </w:rPr>
        <w:t>basic</w:t>
      </w:r>
      <w:r w:rsidRPr="00E07E70">
        <w:rPr>
          <w:rFonts w:ascii="Arial" w:hAnsi="Arial" w:cs="Arial"/>
          <w:color w:val="010000"/>
          <w:sz w:val="20"/>
        </w:rPr>
        <w:t xml:space="preserve"> standards, international standards or foreign standards); and are equivalent in quality (can be substituted for each other due to the same technical characteristics, usability and other characteristics) with a value of no more than VND 01 billion (for companies in Vietnam) or equivalent to VND 01 billion when converted into LAK at the prevailing exchange rate (for Subsidiaries in Laos).</w:t>
      </w:r>
    </w:p>
    <w:p w14:paraId="452B44EA" w14:textId="77777777" w:rsidR="00DC1E53" w:rsidRPr="00E07E70" w:rsidRDefault="00281FE0" w:rsidP="002D4794">
      <w:pPr>
        <w:pStyle w:val="BodyText"/>
        <w:numPr>
          <w:ilvl w:val="1"/>
          <w:numId w:val="3"/>
        </w:numPr>
        <w:tabs>
          <w:tab w:val="left" w:pos="360"/>
          <w:tab w:val="left" w:pos="1285"/>
        </w:tabs>
        <w:spacing w:after="120" w:line="360" w:lineRule="auto"/>
        <w:ind w:firstLine="0"/>
        <w:rPr>
          <w:rFonts w:ascii="Arial" w:hAnsi="Arial" w:cs="Arial"/>
          <w:color w:val="010000"/>
          <w:sz w:val="20"/>
        </w:rPr>
      </w:pPr>
      <w:r w:rsidRPr="00E07E70">
        <w:rPr>
          <w:rFonts w:ascii="Arial" w:hAnsi="Arial" w:cs="Arial"/>
          <w:color w:val="010000"/>
          <w:sz w:val="20"/>
        </w:rPr>
        <w:t>Clause 1, Article 9 “Retail procurement”:</w:t>
      </w:r>
    </w:p>
    <w:p w14:paraId="27FFA9DD" w14:textId="77777777" w:rsidR="00DC1E53" w:rsidRPr="00E07E70" w:rsidRDefault="00281FE0" w:rsidP="002D4794">
      <w:pPr>
        <w:pStyle w:val="BodyText"/>
        <w:tabs>
          <w:tab w:val="left" w:pos="360"/>
        </w:tabs>
        <w:spacing w:after="120" w:line="360" w:lineRule="auto"/>
        <w:ind w:firstLine="0"/>
        <w:rPr>
          <w:rFonts w:ascii="Arial" w:hAnsi="Arial" w:cs="Arial"/>
          <w:color w:val="010000"/>
          <w:sz w:val="20"/>
        </w:rPr>
      </w:pPr>
      <w:r w:rsidRPr="00E07E70">
        <w:rPr>
          <w:rFonts w:ascii="Arial" w:hAnsi="Arial" w:cs="Arial"/>
          <w:color w:val="010000"/>
          <w:sz w:val="20"/>
        </w:rPr>
        <w:t>Is a procurement activity serving production and business or regular purchases for each purchase with a limit of no more than VND 100 million (for companies in Vietnam) or equivalent to VND 100 million when converted into LAK at the prevailing exchange rate (for Subsidiaries in Laos).</w:t>
      </w:r>
    </w:p>
    <w:p w14:paraId="4D85925A" w14:textId="77777777" w:rsidR="00A14C2A" w:rsidRPr="00E07E70" w:rsidRDefault="00281FE0" w:rsidP="002D4794">
      <w:pPr>
        <w:pStyle w:val="BodyText"/>
        <w:numPr>
          <w:ilvl w:val="0"/>
          <w:numId w:val="3"/>
        </w:numPr>
        <w:tabs>
          <w:tab w:val="left" w:pos="360"/>
          <w:tab w:val="left" w:pos="1059"/>
        </w:tabs>
        <w:spacing w:after="120" w:line="360" w:lineRule="auto"/>
        <w:ind w:firstLine="0"/>
        <w:rPr>
          <w:rFonts w:ascii="Arial" w:hAnsi="Arial" w:cs="Arial"/>
          <w:color w:val="010000"/>
          <w:sz w:val="20"/>
        </w:rPr>
      </w:pPr>
      <w:r w:rsidRPr="00E07E70">
        <w:rPr>
          <w:rFonts w:ascii="Arial" w:hAnsi="Arial" w:cs="Arial"/>
          <w:color w:val="010000"/>
          <w:sz w:val="20"/>
        </w:rPr>
        <w:t>Other contents shall continue to be implemented according to Decision No. 54/QD-HDQT dated October 22, 2020 on promulgating Regulations on selecting procurement contractors in production and business activities and maintaining regular operations of Dak Lak Rubber Investment Joint Stock Company and its subsidiaries.</w:t>
      </w:r>
    </w:p>
    <w:p w14:paraId="0B4C2F5A" w14:textId="77777777" w:rsidR="00DC1E53" w:rsidRPr="00E07E70" w:rsidRDefault="00281FE0" w:rsidP="002D4794">
      <w:pPr>
        <w:pStyle w:val="BodyText"/>
        <w:numPr>
          <w:ilvl w:val="0"/>
          <w:numId w:val="3"/>
        </w:numPr>
        <w:tabs>
          <w:tab w:val="left" w:pos="360"/>
          <w:tab w:val="left" w:pos="1064"/>
        </w:tabs>
        <w:spacing w:after="120" w:line="360" w:lineRule="auto"/>
        <w:ind w:firstLine="0"/>
        <w:rPr>
          <w:rFonts w:ascii="Arial" w:hAnsi="Arial" w:cs="Arial"/>
          <w:color w:val="010000"/>
          <w:sz w:val="20"/>
        </w:rPr>
      </w:pPr>
      <w:r w:rsidRPr="00E07E70">
        <w:rPr>
          <w:rFonts w:ascii="Arial" w:hAnsi="Arial" w:cs="Arial"/>
          <w:color w:val="010000"/>
          <w:sz w:val="20"/>
        </w:rPr>
        <w:t>Assign the Executive Board to supplement and make adjustments to submit to the Chair of the Board of Directors for reviewing and signing a decision to promulgate the adjusted contents.</w:t>
      </w:r>
    </w:p>
    <w:p w14:paraId="41DF9E7A" w14:textId="529F80D5" w:rsidR="00DC1E53" w:rsidRPr="00E07E70" w:rsidRDefault="00281FE0" w:rsidP="002D4794">
      <w:pPr>
        <w:pStyle w:val="BodyText"/>
        <w:tabs>
          <w:tab w:val="left" w:pos="360"/>
        </w:tabs>
        <w:spacing w:after="120" w:line="360" w:lineRule="auto"/>
        <w:ind w:firstLine="0"/>
        <w:rPr>
          <w:rFonts w:ascii="Arial" w:hAnsi="Arial" w:cs="Arial"/>
          <w:color w:val="010000"/>
          <w:sz w:val="20"/>
        </w:rPr>
      </w:pPr>
      <w:r w:rsidRPr="00E07E70">
        <w:rPr>
          <w:rFonts w:ascii="Arial" w:hAnsi="Arial" w:cs="Arial"/>
          <w:color w:val="010000"/>
          <w:sz w:val="20"/>
        </w:rPr>
        <w:t>‎‎Article 2. This Resolution takes effect from the date of its signing. Members of the Board of Directors, the General Manager of the Company, the Manager of Daklaoruco are responsible for the implementation of this Resolution.</w:t>
      </w:r>
    </w:p>
    <w:sectPr w:rsidR="00DC1E53" w:rsidRPr="00E07E70" w:rsidSect="002D4794">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D4EFA" w14:textId="77777777" w:rsidR="0001198B" w:rsidRDefault="0001198B">
      <w:r>
        <w:separator/>
      </w:r>
    </w:p>
  </w:endnote>
  <w:endnote w:type="continuationSeparator" w:id="0">
    <w:p w14:paraId="13578171" w14:textId="77777777" w:rsidR="0001198B" w:rsidRDefault="0001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EC8AC" w14:textId="77777777" w:rsidR="0001198B" w:rsidRDefault="0001198B"/>
  </w:footnote>
  <w:footnote w:type="continuationSeparator" w:id="0">
    <w:p w14:paraId="5271F187" w14:textId="77777777" w:rsidR="0001198B" w:rsidRDefault="000119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65D5"/>
    <w:multiLevelType w:val="multilevel"/>
    <w:tmpl w:val="AC640BD2"/>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start w:val="1"/>
      <w:numFmt w:val="decimal"/>
      <w:lvlText w:val="%1.%2-"/>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9B1FC1"/>
    <w:multiLevelType w:val="multilevel"/>
    <w:tmpl w:val="400C6C18"/>
    <w:lvl w:ilvl="0">
      <w:start w:val="1"/>
      <w:numFmt w:val="bullet"/>
      <w:lvlText w:val="-"/>
      <w:lvlJc w:val="left"/>
      <w:rPr>
        <w:rFonts w:ascii="Arial" w:eastAsia="Times New Roman" w:hAnsi="Arial" w:cs="Arial"/>
        <w:b w:val="0"/>
        <w:bCs w:val="0"/>
        <w:i w:val="0"/>
        <w:iCs w:val="0"/>
        <w:smallCaps w:val="0"/>
        <w:strike w:val="0"/>
        <w:color w:val="3E3D63"/>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D13A46"/>
    <w:multiLevelType w:val="multilevel"/>
    <w:tmpl w:val="C9C4DD4E"/>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050904"/>
    <w:multiLevelType w:val="multilevel"/>
    <w:tmpl w:val="34785698"/>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53"/>
    <w:rsid w:val="0001198B"/>
    <w:rsid w:val="00184B48"/>
    <w:rsid w:val="0021171C"/>
    <w:rsid w:val="00281FE0"/>
    <w:rsid w:val="002D4794"/>
    <w:rsid w:val="003B5770"/>
    <w:rsid w:val="00515462"/>
    <w:rsid w:val="00A14C2A"/>
    <w:rsid w:val="00DC1E53"/>
    <w:rsid w:val="00E0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51B5F"/>
  <w15:docId w15:val="{D14D1385-2714-431F-9CC0-8582401D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04B6F"/>
      <w:sz w:val="20"/>
      <w:szCs w:val="20"/>
      <w:u w:val="none"/>
      <w:shd w:val="clear" w:color="auto" w:fill="FFFFFF"/>
    </w:rPr>
  </w:style>
  <w:style w:type="character" w:customStyle="1" w:styleId="Heading1">
    <w:name w:val="Heading #1_"/>
    <w:basedOn w:val="DefaultParagraphFont"/>
    <w:link w:val="Heading10"/>
    <w:rPr>
      <w:rFonts w:ascii="Arial" w:eastAsia="Arial" w:hAnsi="Arial" w:cs="Arial"/>
      <w:b w:val="0"/>
      <w:bCs w:val="0"/>
      <w:i w:val="0"/>
      <w:iCs w:val="0"/>
      <w:smallCaps/>
      <w:strike w:val="0"/>
      <w:color w:val="B04B6F"/>
      <w:sz w:val="32"/>
      <w:szCs w:val="32"/>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color w:val="B04B6F"/>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sz w:val="24"/>
      <w:szCs w:val="24"/>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i/>
      <w:iCs/>
      <w:sz w:val="20"/>
      <w:szCs w:val="20"/>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209" w:lineRule="auto"/>
      <w:ind w:left="2940"/>
    </w:pPr>
    <w:rPr>
      <w:rFonts w:ascii="Arial" w:eastAsia="Arial" w:hAnsi="Arial" w:cs="Arial"/>
      <w:color w:val="B04B6F"/>
      <w:sz w:val="20"/>
      <w:szCs w:val="20"/>
      <w:shd w:val="clear" w:color="auto" w:fill="FFFFFF"/>
    </w:rPr>
  </w:style>
  <w:style w:type="paragraph" w:customStyle="1" w:styleId="Heading10">
    <w:name w:val="Heading #1"/>
    <w:basedOn w:val="Normal"/>
    <w:link w:val="Heading1"/>
    <w:pPr>
      <w:spacing w:line="209" w:lineRule="auto"/>
      <w:ind w:left="2560"/>
      <w:outlineLvl w:val="0"/>
    </w:pPr>
    <w:rPr>
      <w:rFonts w:ascii="Arial" w:eastAsia="Arial" w:hAnsi="Arial" w:cs="Arial"/>
      <w:smallCaps/>
      <w:color w:val="B04B6F"/>
      <w:sz w:val="32"/>
      <w:szCs w:val="32"/>
    </w:rPr>
  </w:style>
  <w:style w:type="paragraph" w:customStyle="1" w:styleId="Heading20">
    <w:name w:val="Heading #2"/>
    <w:basedOn w:val="Normal"/>
    <w:link w:val="Heading2"/>
    <w:pPr>
      <w:jc w:val="center"/>
      <w:outlineLvl w:val="1"/>
    </w:pPr>
    <w:rPr>
      <w:rFonts w:ascii="Times New Roman" w:eastAsia="Times New Roman" w:hAnsi="Times New Roman" w:cs="Times New Roman"/>
      <w:color w:val="B04B6F"/>
      <w:sz w:val="28"/>
      <w:szCs w:val="28"/>
    </w:rPr>
  </w:style>
  <w:style w:type="paragraph" w:customStyle="1" w:styleId="Bodytext40">
    <w:name w:val="Body text (4)"/>
    <w:basedOn w:val="Normal"/>
    <w:link w:val="Bodytext4"/>
    <w:pPr>
      <w:ind w:left="6920"/>
    </w:pPr>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2024-01-29T04:20:00Z</dcterms:created>
  <dcterms:modified xsi:type="dcterms:W3CDTF">2024-01-29T04:20:00Z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e02dce567bf230a78ab2bdf481a7c26328b9c95d5605e37af2bdea4e46725ab6</vt:lpwstr>
  </property>
</Properties>
</file>