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D889C" w14:textId="77777777" w:rsidR="009668B8" w:rsidRPr="003241DA" w:rsidRDefault="00347666" w:rsidP="003272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241DA">
        <w:rPr>
          <w:rFonts w:ascii="Arial" w:hAnsi="Arial"/>
          <w:b/>
          <w:color w:val="010000"/>
          <w:sz w:val="20"/>
        </w:rPr>
        <w:t>ICF: Annual Corporate Governance Report 2023</w:t>
      </w:r>
    </w:p>
    <w:p w14:paraId="313EA8F5" w14:textId="71AABB69" w:rsidR="009668B8" w:rsidRPr="003241DA" w:rsidRDefault="00347666" w:rsidP="003272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>On January 22, 2024, Investment Commerce Fisheries Corporation announced Report No. 004/0124-QT-ICF on the corporate governance of the Company 2023 as follows:</w:t>
      </w:r>
    </w:p>
    <w:p w14:paraId="4BE48224" w14:textId="77777777" w:rsidR="009668B8" w:rsidRPr="003241DA" w:rsidRDefault="00347666" w:rsidP="003272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>Name of company: Investment Commerce Fisheries Corporation</w:t>
      </w:r>
    </w:p>
    <w:p w14:paraId="18616F54" w14:textId="77777777" w:rsidR="009668B8" w:rsidRPr="003241DA" w:rsidRDefault="00347666" w:rsidP="003272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 xml:space="preserve">Head office address: No. A77/I, Street No. 7, Vinh Loc Industrial Park, </w:t>
      </w:r>
      <w:proofErr w:type="spellStart"/>
      <w:r w:rsidRPr="003241DA">
        <w:rPr>
          <w:rFonts w:ascii="Arial" w:hAnsi="Arial"/>
          <w:bCs/>
          <w:color w:val="010000"/>
          <w:sz w:val="20"/>
        </w:rPr>
        <w:t>Binh</w:t>
      </w:r>
      <w:proofErr w:type="spellEnd"/>
      <w:r w:rsidRPr="003241DA">
        <w:rPr>
          <w:rFonts w:ascii="Arial" w:hAnsi="Arial"/>
          <w:bCs/>
          <w:color w:val="010000"/>
          <w:sz w:val="20"/>
        </w:rPr>
        <w:t xml:space="preserve"> Tan District, Ho Chi Minh City. </w:t>
      </w:r>
    </w:p>
    <w:p w14:paraId="6CF8B198" w14:textId="77777777" w:rsidR="009668B8" w:rsidRPr="003241DA" w:rsidRDefault="00347666" w:rsidP="003272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41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 xml:space="preserve">Tel: (028) 3765 3145         Email: </w:t>
      </w:r>
      <w:hyperlink r:id="rId6">
        <w:r w:rsidRPr="003241DA">
          <w:rPr>
            <w:rFonts w:ascii="Arial" w:hAnsi="Arial"/>
            <w:bCs/>
            <w:color w:val="010000"/>
            <w:sz w:val="20"/>
          </w:rPr>
          <w:t>incomfish@incomfish.com</w:t>
        </w:r>
      </w:hyperlink>
    </w:p>
    <w:p w14:paraId="1BC20A62" w14:textId="77777777" w:rsidR="009668B8" w:rsidRPr="003241DA" w:rsidRDefault="00347666" w:rsidP="003272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41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>Charter capital: VND 128,070,000,000</w:t>
      </w:r>
    </w:p>
    <w:p w14:paraId="7E15164F" w14:textId="77777777" w:rsidR="009668B8" w:rsidRPr="003241DA" w:rsidRDefault="00347666" w:rsidP="003272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41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>Securities code: ICF</w:t>
      </w:r>
    </w:p>
    <w:p w14:paraId="0A05C432" w14:textId="490B3A5F" w:rsidR="009668B8" w:rsidRPr="003241DA" w:rsidRDefault="00347666" w:rsidP="003272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 xml:space="preserve">Corporate Governance Model: The </w:t>
      </w:r>
      <w:r w:rsidR="00327236">
        <w:rPr>
          <w:rFonts w:ascii="Arial" w:hAnsi="Arial"/>
          <w:bCs/>
          <w:color w:val="010000"/>
          <w:sz w:val="20"/>
        </w:rPr>
        <w:t xml:space="preserve">General Meeting, </w:t>
      </w:r>
      <w:r w:rsidRPr="003241DA">
        <w:rPr>
          <w:rFonts w:ascii="Arial" w:hAnsi="Arial"/>
          <w:bCs/>
          <w:color w:val="010000"/>
          <w:sz w:val="20"/>
        </w:rPr>
        <w:t>Board of Directors,</w:t>
      </w:r>
      <w:r w:rsidR="00327236">
        <w:rPr>
          <w:rFonts w:ascii="Arial" w:hAnsi="Arial"/>
          <w:bCs/>
          <w:color w:val="010000"/>
          <w:sz w:val="20"/>
        </w:rPr>
        <w:t xml:space="preserve"> Supervisory Board and Managing Director</w:t>
      </w:r>
      <w:r w:rsidRPr="003241DA">
        <w:rPr>
          <w:rFonts w:ascii="Arial" w:hAnsi="Arial"/>
          <w:bCs/>
          <w:color w:val="010000"/>
          <w:sz w:val="20"/>
        </w:rPr>
        <w:t>.</w:t>
      </w:r>
    </w:p>
    <w:p w14:paraId="1A44706F" w14:textId="77777777" w:rsidR="009668B8" w:rsidRPr="003241DA" w:rsidRDefault="00347666" w:rsidP="003272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8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>Implementation of the internal audit function: Implemented</w:t>
      </w:r>
    </w:p>
    <w:p w14:paraId="4E9A03A0" w14:textId="3190176F" w:rsidR="009668B8" w:rsidRPr="003241DA" w:rsidRDefault="00347666" w:rsidP="00327236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1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 xml:space="preserve">Activities of the </w:t>
      </w:r>
      <w:r w:rsidR="00327236">
        <w:rPr>
          <w:rFonts w:ascii="Arial" w:hAnsi="Arial"/>
          <w:bCs/>
          <w:color w:val="010000"/>
          <w:sz w:val="20"/>
        </w:rPr>
        <w:t>General Meeting</w:t>
      </w:r>
      <w:r w:rsidRPr="003241DA">
        <w:rPr>
          <w:rFonts w:ascii="Arial" w:hAnsi="Arial"/>
          <w:bCs/>
          <w:color w:val="010000"/>
          <w:sz w:val="20"/>
        </w:rPr>
        <w:t>:</w:t>
      </w:r>
    </w:p>
    <w:p w14:paraId="0589FEE6" w14:textId="49D271FB" w:rsidR="009668B8" w:rsidRPr="003241DA" w:rsidRDefault="00347666" w:rsidP="003272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 xml:space="preserve">Information about meetings and General Mandates/Decisions of the </w:t>
      </w:r>
      <w:r w:rsidR="00327236">
        <w:rPr>
          <w:rFonts w:ascii="Arial" w:hAnsi="Arial"/>
          <w:bCs/>
          <w:color w:val="010000"/>
          <w:sz w:val="20"/>
        </w:rPr>
        <w:t>General Meeting</w:t>
      </w:r>
      <w:r w:rsidRPr="003241DA">
        <w:rPr>
          <w:rFonts w:ascii="Arial" w:hAnsi="Arial"/>
          <w:bCs/>
          <w:color w:val="010000"/>
          <w:sz w:val="20"/>
        </w:rPr>
        <w:t xml:space="preserve"> (including General Mandates approved by collecting opinions via a ballot)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1661"/>
        <w:gridCol w:w="1333"/>
        <w:gridCol w:w="5424"/>
      </w:tblGrid>
      <w:tr w:rsidR="009668B8" w:rsidRPr="003241DA" w14:paraId="6BBB64C9" w14:textId="77777777" w:rsidTr="00327236"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47501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6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96ABA" w14:textId="18B66EB1" w:rsidR="009668B8" w:rsidRPr="003241DA" w:rsidRDefault="00347666" w:rsidP="0032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 xml:space="preserve">General Mandate/Decision of the </w:t>
            </w:r>
            <w:r w:rsidR="00327236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3241DA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0205C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54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64B82" w14:textId="29C144FC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Content</w:t>
            </w:r>
            <w:r w:rsidR="00327236">
              <w:rPr>
                <w:rFonts w:ascii="Arial" w:hAnsi="Arial"/>
                <w:bCs/>
                <w:color w:val="010000"/>
                <w:sz w:val="20"/>
              </w:rPr>
              <w:t>s</w:t>
            </w:r>
          </w:p>
        </w:tc>
      </w:tr>
      <w:tr w:rsidR="009668B8" w:rsidRPr="003241DA" w14:paraId="1CEFD013" w14:textId="77777777" w:rsidTr="00327236"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65375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01</w:t>
            </w:r>
          </w:p>
        </w:tc>
        <w:tc>
          <w:tcPr>
            <w:tcW w:w="16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C5A49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11/0623/NQ.ICF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097DC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June 16, 2023</w:t>
            </w:r>
          </w:p>
        </w:tc>
        <w:tc>
          <w:tcPr>
            <w:tcW w:w="54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00A16" w14:textId="6878767C" w:rsidR="009668B8" w:rsidRPr="003241DA" w:rsidRDefault="00AA58FF" w:rsidP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Annual General Mandate 2023</w:t>
            </w:r>
          </w:p>
        </w:tc>
      </w:tr>
    </w:tbl>
    <w:p w14:paraId="370E39D3" w14:textId="6D994AE8" w:rsidR="009668B8" w:rsidRPr="003241DA" w:rsidRDefault="00347666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>Board of Directors:</w:t>
      </w:r>
    </w:p>
    <w:p w14:paraId="37CD3416" w14:textId="77777777" w:rsidR="009668B8" w:rsidRPr="003241DA" w:rsidRDefault="003476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>Information about members of the Board of Directors:</w:t>
      </w:r>
    </w:p>
    <w:tbl>
      <w:tblPr>
        <w:tblStyle w:val="a0"/>
        <w:tblW w:w="9019" w:type="dxa"/>
        <w:tblLayout w:type="fixed"/>
        <w:tblLook w:val="0400" w:firstRow="0" w:lastRow="0" w:firstColumn="0" w:lastColumn="0" w:noHBand="0" w:noVBand="1"/>
      </w:tblPr>
      <w:tblGrid>
        <w:gridCol w:w="651"/>
        <w:gridCol w:w="2009"/>
        <w:gridCol w:w="2511"/>
        <w:gridCol w:w="2152"/>
        <w:gridCol w:w="1696"/>
      </w:tblGrid>
      <w:tr w:rsidR="009668B8" w:rsidRPr="003241DA" w14:paraId="00829A6D" w14:textId="77777777"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40110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9B12E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Member of the Board of Directors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F20E8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Position (independent members of the Board of Directors, non-executive members of the Board of Directors)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E2D09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Date of appointment/dismissal as members/independent member of the Board of Directors</w:t>
            </w:r>
          </w:p>
        </w:tc>
      </w:tr>
      <w:tr w:rsidR="009668B8" w:rsidRPr="003241DA" w14:paraId="191C8A72" w14:textId="77777777"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AE725" w14:textId="77777777" w:rsidR="009668B8" w:rsidRPr="003241DA" w:rsidRDefault="00966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23BF9" w14:textId="77777777" w:rsidR="009668B8" w:rsidRPr="003241DA" w:rsidRDefault="00966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3BA61" w14:textId="77777777" w:rsidR="009668B8" w:rsidRPr="003241DA" w:rsidRDefault="00966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1E14C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Appointment date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CF415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Dismissal date</w:t>
            </w:r>
          </w:p>
        </w:tc>
      </w:tr>
      <w:tr w:rsidR="009668B8" w:rsidRPr="003241DA" w14:paraId="60021BA7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7EF75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A569D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Ms. Nguyen Thi Kim Xuan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9894C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Chair of the Board of Directors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4EE4A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Chair of the Board of Directors since 2002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68A3D" w14:textId="77777777" w:rsidR="009668B8" w:rsidRPr="003241DA" w:rsidRDefault="009668B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9668B8" w:rsidRPr="003241DA" w14:paraId="4EB609C2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BB92C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BAF38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Mr. Dang Viet Hung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DAFD6" w14:textId="11C903BA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 xml:space="preserve">Member of the Board of Directors, </w:t>
            </w:r>
            <w:r w:rsidR="00327236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FA34B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2020</w:t>
            </w:r>
          </w:p>
          <w:p w14:paraId="27A86C82" w14:textId="1A1E3ABB" w:rsidR="009668B8" w:rsidRPr="003241DA" w:rsidRDefault="0032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  <w:r w:rsidR="00347666" w:rsidRPr="003241DA">
              <w:rPr>
                <w:rFonts w:ascii="Arial" w:hAnsi="Arial"/>
                <w:bCs/>
                <w:color w:val="010000"/>
                <w:sz w:val="20"/>
              </w:rPr>
              <w:t xml:space="preserve"> since September 09, 2022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77F29" w14:textId="77777777" w:rsidR="009668B8" w:rsidRPr="003241DA" w:rsidRDefault="009668B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9668B8" w:rsidRPr="003241DA" w14:paraId="53C0E22E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1245B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C7879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Mr. Nguyen Khoa Dinh Hoang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68363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B471B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June 20, 2022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39DFE" w14:textId="77777777" w:rsidR="009668B8" w:rsidRPr="003241DA" w:rsidRDefault="009668B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9668B8" w:rsidRPr="003241DA" w14:paraId="60F1B32B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1CE70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95C5B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Ms. Nguyen Thi Kim Thu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8D558" w14:textId="2046C626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 xml:space="preserve">Member of the Board of Directors, Deputy </w:t>
            </w:r>
            <w:r w:rsidR="00327236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D52FA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2002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541FF" w14:textId="77777777" w:rsidR="009668B8" w:rsidRPr="003241DA" w:rsidRDefault="009668B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3373692A" w14:textId="77777777" w:rsidR="009668B8" w:rsidRPr="003241DA" w:rsidRDefault="003476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>Board Resolutions/Board Decisions:</w:t>
      </w:r>
    </w:p>
    <w:tbl>
      <w:tblPr>
        <w:tblStyle w:val="a1"/>
        <w:tblW w:w="5289" w:type="pct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9"/>
        <w:gridCol w:w="2135"/>
        <w:gridCol w:w="1645"/>
        <w:gridCol w:w="5131"/>
      </w:tblGrid>
      <w:tr w:rsidR="00AA58FF" w:rsidRPr="003241DA" w14:paraId="71F364A4" w14:textId="77777777" w:rsidTr="00327236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6435A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2BE65" w14:textId="2CDB8E22" w:rsidR="00AA58FF" w:rsidRPr="003241DA" w:rsidRDefault="00AA58FF" w:rsidP="0032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 xml:space="preserve">Board Resolution/Board Decision 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EF558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2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703D6" w14:textId="7DE87EE5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Content</w:t>
            </w:r>
            <w:r w:rsidR="00327236">
              <w:rPr>
                <w:rFonts w:ascii="Arial" w:hAnsi="Arial"/>
                <w:bCs/>
                <w:color w:val="010000"/>
                <w:sz w:val="20"/>
              </w:rPr>
              <w:t>s</w:t>
            </w:r>
          </w:p>
        </w:tc>
      </w:tr>
      <w:tr w:rsidR="00AA58FF" w:rsidRPr="003241DA" w14:paraId="69A37D90" w14:textId="77777777" w:rsidTr="00327236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8E6A9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59744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01/NQ HDQT 2023/ICF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8FC8B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January 13, 2023</w:t>
            </w:r>
          </w:p>
        </w:tc>
        <w:tc>
          <w:tcPr>
            <w:tcW w:w="2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D4F77" w14:textId="4A2DAD01" w:rsidR="00AA58FF" w:rsidRPr="003241DA" w:rsidRDefault="0032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No</w:t>
            </w:r>
            <w:r w:rsidR="00AA58FF" w:rsidRPr="003241DA">
              <w:rPr>
                <w:rFonts w:ascii="Arial" w:hAnsi="Arial"/>
                <w:bCs/>
                <w:color w:val="010000"/>
                <w:sz w:val="20"/>
              </w:rPr>
              <w:t xml:space="preserve"> salary</w:t>
            </w:r>
            <w:r>
              <w:rPr>
                <w:rFonts w:ascii="Arial" w:hAnsi="Arial"/>
                <w:bCs/>
                <w:color w:val="010000"/>
                <w:sz w:val="20"/>
              </w:rPr>
              <w:t xml:space="preserve"> paid</w:t>
            </w:r>
            <w:r w:rsidR="00AA58FF" w:rsidRPr="003241DA">
              <w:rPr>
                <w:rFonts w:ascii="Arial" w:hAnsi="Arial"/>
                <w:bCs/>
                <w:color w:val="010000"/>
                <w:sz w:val="20"/>
              </w:rPr>
              <w:t xml:space="preserve"> in 2022 for 02/04 members of the Board of Directors</w:t>
            </w:r>
          </w:p>
        </w:tc>
      </w:tr>
      <w:tr w:rsidR="00AA58FF" w:rsidRPr="003241DA" w14:paraId="7670277F" w14:textId="77777777" w:rsidTr="00327236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4E876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6C6F6" w14:textId="77777777" w:rsidR="00AA58FF" w:rsidRPr="003241DA" w:rsidRDefault="00AA58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BD23D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April 19, 2023</w:t>
            </w:r>
          </w:p>
        </w:tc>
        <w:tc>
          <w:tcPr>
            <w:tcW w:w="2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D4634" w14:textId="52C21A87" w:rsidR="00AA58FF" w:rsidRPr="003241DA" w:rsidRDefault="00AA58FF" w:rsidP="0032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 xml:space="preserve">Extend the </w:t>
            </w:r>
            <w:r w:rsidR="00327236">
              <w:rPr>
                <w:rFonts w:ascii="Arial" w:hAnsi="Arial"/>
                <w:bCs/>
                <w:color w:val="010000"/>
                <w:sz w:val="20"/>
              </w:rPr>
              <w:t>convening date of</w:t>
            </w:r>
            <w:r w:rsidRPr="003241DA">
              <w:rPr>
                <w:rFonts w:ascii="Arial" w:hAnsi="Arial"/>
                <w:bCs/>
                <w:color w:val="010000"/>
                <w:sz w:val="20"/>
              </w:rPr>
              <w:t xml:space="preserve"> the Annual </w:t>
            </w:r>
            <w:r w:rsidR="00327236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3241DA">
              <w:rPr>
                <w:rFonts w:ascii="Arial" w:hAnsi="Arial"/>
                <w:bCs/>
                <w:color w:val="010000"/>
                <w:sz w:val="20"/>
              </w:rPr>
              <w:t xml:space="preserve"> 2023 (no later than June 30, 2023).</w:t>
            </w:r>
          </w:p>
        </w:tc>
      </w:tr>
      <w:tr w:rsidR="00AA58FF" w:rsidRPr="003241DA" w14:paraId="495294EC" w14:textId="77777777" w:rsidTr="00327236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835BD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25E37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09/NQ HDQT 2023/ICF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5338F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May 05, 2023</w:t>
            </w:r>
          </w:p>
        </w:tc>
        <w:tc>
          <w:tcPr>
            <w:tcW w:w="2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7A4AD" w14:textId="215AB835" w:rsidR="00AA58FF" w:rsidRPr="003241DA" w:rsidRDefault="00AA58FF" w:rsidP="0032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 xml:space="preserve">Approve the </w:t>
            </w:r>
            <w:r w:rsidR="00327236">
              <w:rPr>
                <w:rFonts w:ascii="Arial" w:hAnsi="Arial"/>
                <w:bCs/>
                <w:color w:val="010000"/>
                <w:sz w:val="20"/>
              </w:rPr>
              <w:t>convening date</w:t>
            </w:r>
            <w:r w:rsidRPr="003241DA">
              <w:rPr>
                <w:rFonts w:ascii="Arial" w:hAnsi="Arial"/>
                <w:bCs/>
                <w:color w:val="010000"/>
                <w:sz w:val="20"/>
              </w:rPr>
              <w:t xml:space="preserve"> of the Annual </w:t>
            </w:r>
            <w:r w:rsidR="00327236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3241DA"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</w:p>
        </w:tc>
      </w:tr>
      <w:tr w:rsidR="00AA58FF" w:rsidRPr="003241DA" w14:paraId="0C064F97" w14:textId="77777777" w:rsidTr="00327236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80398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4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E9A3D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09.1/NQ HDQT 2023/ICF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FDC99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May 09, 2023</w:t>
            </w:r>
          </w:p>
        </w:tc>
        <w:tc>
          <w:tcPr>
            <w:tcW w:w="2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E9189" w14:textId="6FF8120D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 xml:space="preserve">Re-agree on the organization time of the Annual </w:t>
            </w:r>
            <w:r w:rsidR="00327236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3241DA"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</w:p>
        </w:tc>
      </w:tr>
      <w:tr w:rsidR="00AA58FF" w:rsidRPr="003241DA" w14:paraId="549023A3" w14:textId="77777777" w:rsidTr="00327236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8077B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5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3E364" w14:textId="084EBCDB" w:rsidR="00AA58FF" w:rsidRPr="003241DA" w:rsidRDefault="00AA58FF" w:rsidP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16/NQ HDQT 2023/ICF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768AB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July 21, 2023</w:t>
            </w:r>
          </w:p>
        </w:tc>
        <w:tc>
          <w:tcPr>
            <w:tcW w:w="2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72CFB" w14:textId="27866091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Agree on selecting Southern Auditing and Accounting Financial Consultancy Service., Ltd (AASCS) to review the Semi-annua</w:t>
            </w:r>
            <w:r w:rsidR="00327236">
              <w:rPr>
                <w:rFonts w:ascii="Arial" w:hAnsi="Arial"/>
                <w:bCs/>
                <w:color w:val="010000"/>
                <w:sz w:val="20"/>
              </w:rPr>
              <w:t xml:space="preserve">l Financial Statements ended </w:t>
            </w:r>
            <w:r w:rsidRPr="003241DA">
              <w:rPr>
                <w:rFonts w:ascii="Arial" w:hAnsi="Arial"/>
                <w:bCs/>
                <w:color w:val="010000"/>
                <w:sz w:val="20"/>
              </w:rPr>
              <w:t>June 30, 2023 and audit the Financial Statements for the fiscal year ended December 31, 2023.</w:t>
            </w:r>
          </w:p>
        </w:tc>
      </w:tr>
      <w:tr w:rsidR="00AA58FF" w:rsidRPr="003241DA" w14:paraId="430A4C86" w14:textId="77777777" w:rsidTr="00327236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3FCA2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6</w:t>
            </w:r>
          </w:p>
        </w:tc>
        <w:tc>
          <w:tcPr>
            <w:tcW w:w="1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F9336" w14:textId="77777777" w:rsidR="00AA58FF" w:rsidRPr="003241DA" w:rsidRDefault="00AA58F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F7FF1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December 29, 2023</w:t>
            </w:r>
          </w:p>
        </w:tc>
        <w:tc>
          <w:tcPr>
            <w:tcW w:w="26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C2E2B" w14:textId="77777777" w:rsidR="00AA58FF" w:rsidRPr="003241DA" w:rsidRDefault="00AA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Summary of production and business activities in 2023, production and business plan in 2024.</w:t>
            </w:r>
          </w:p>
        </w:tc>
      </w:tr>
    </w:tbl>
    <w:p w14:paraId="7D269528" w14:textId="5F9057E1" w:rsidR="009668B8" w:rsidRPr="003241DA" w:rsidRDefault="00347666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>Supervisory Board/ Audit Committee</w:t>
      </w:r>
    </w:p>
    <w:p w14:paraId="4C350FA0" w14:textId="77777777" w:rsidR="009668B8" w:rsidRPr="003241DA" w:rsidRDefault="003476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>1 Information about the members of the Supervisory Board/Audit Committee:</w:t>
      </w:r>
    </w:p>
    <w:p w14:paraId="2AA53CC7" w14:textId="77777777" w:rsidR="009668B8" w:rsidRPr="003241DA" w:rsidRDefault="009668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55"/>
        <w:gridCol w:w="1396"/>
        <w:gridCol w:w="2174"/>
        <w:gridCol w:w="2486"/>
      </w:tblGrid>
      <w:tr w:rsidR="009668B8" w:rsidRPr="003241DA" w14:paraId="6EEC9182" w14:textId="77777777"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954FE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E5EAE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2FADA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Position</w:t>
            </w:r>
          </w:p>
        </w:tc>
        <w:tc>
          <w:tcPr>
            <w:tcW w:w="2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E352A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Date of appointment/dismissal as member of the Supervisory/the Audit Committee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A8066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</w:tr>
      <w:tr w:rsidR="009668B8" w:rsidRPr="003241DA" w14:paraId="64B58B83" w14:textId="77777777"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71ADF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E8D31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 xml:space="preserve">Ms. Nguyen Thi </w:t>
            </w:r>
            <w:proofErr w:type="spellStart"/>
            <w:r w:rsidRPr="003241DA">
              <w:rPr>
                <w:rFonts w:ascii="Arial" w:hAnsi="Arial"/>
                <w:bCs/>
                <w:color w:val="010000"/>
                <w:sz w:val="20"/>
              </w:rPr>
              <w:t>Nhung</w:t>
            </w:r>
            <w:proofErr w:type="spellEnd"/>
          </w:p>
        </w:tc>
        <w:tc>
          <w:tcPr>
            <w:tcW w:w="1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B62C5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Chief</w:t>
            </w:r>
          </w:p>
        </w:tc>
        <w:tc>
          <w:tcPr>
            <w:tcW w:w="2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914D5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Appointed on June 20, 2022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0ED1F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Bachelor</w:t>
            </w:r>
          </w:p>
        </w:tc>
      </w:tr>
      <w:tr w:rsidR="009668B8" w:rsidRPr="003241DA" w14:paraId="0507E8D7" w14:textId="77777777"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604D9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4ADA9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Mr. Nguyen The Phong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6E20C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2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A9BF0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Re-appointed on June 20, 2022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CF4CA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Business Administration, Foreign Economic Relations</w:t>
            </w:r>
          </w:p>
        </w:tc>
      </w:tr>
      <w:tr w:rsidR="009668B8" w:rsidRPr="003241DA" w14:paraId="73ED38FF" w14:textId="77777777"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C3289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B6E9D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Ms. Le Thi Thu Van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F4364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21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942AC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Appointed on June 20, 2022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F9753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Bachelor</w:t>
            </w:r>
          </w:p>
        </w:tc>
      </w:tr>
    </w:tbl>
    <w:p w14:paraId="6EB0736A" w14:textId="3FDA3010" w:rsidR="009668B8" w:rsidRPr="003241DA" w:rsidRDefault="003476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>Executive Board</w:t>
      </w:r>
    </w:p>
    <w:tbl>
      <w:tblPr>
        <w:tblStyle w:val="a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2769"/>
        <w:gridCol w:w="1647"/>
        <w:gridCol w:w="1898"/>
        <w:gridCol w:w="1894"/>
      </w:tblGrid>
      <w:tr w:rsidR="009668B8" w:rsidRPr="003241DA" w14:paraId="0EA5C93D" w14:textId="77777777">
        <w:tc>
          <w:tcPr>
            <w:tcW w:w="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88F31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7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9EAA5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Members of the Executive Board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B9D59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05544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  <w:tc>
          <w:tcPr>
            <w:tcW w:w="18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40E4F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Date of appointment/dismissal as the member of the Executive Board</w:t>
            </w:r>
          </w:p>
        </w:tc>
      </w:tr>
      <w:tr w:rsidR="009668B8" w:rsidRPr="003241DA" w14:paraId="37F09149" w14:textId="77777777">
        <w:tc>
          <w:tcPr>
            <w:tcW w:w="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5E927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27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E354B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Ms. Nguyen Thi Kim Xuan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F3399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June 24, 1959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B34A5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Aquatic Engineer</w:t>
            </w:r>
          </w:p>
        </w:tc>
        <w:tc>
          <w:tcPr>
            <w:tcW w:w="18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F8365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September 01, 1999</w:t>
            </w:r>
          </w:p>
        </w:tc>
      </w:tr>
      <w:tr w:rsidR="009668B8" w:rsidRPr="003241DA" w14:paraId="336C4BC4" w14:textId="77777777">
        <w:tc>
          <w:tcPr>
            <w:tcW w:w="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25DF6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27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B61F0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Mr. Dang Viet Hung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8F72C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February 08, 1963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F3BA9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Thermal Engineer</w:t>
            </w:r>
          </w:p>
        </w:tc>
        <w:tc>
          <w:tcPr>
            <w:tcW w:w="18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092CB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September, 2022</w:t>
            </w:r>
          </w:p>
        </w:tc>
      </w:tr>
      <w:tr w:rsidR="009668B8" w:rsidRPr="003241DA" w14:paraId="0DDC6605" w14:textId="77777777">
        <w:tc>
          <w:tcPr>
            <w:tcW w:w="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365C2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27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3AF3A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Ms. Nguyen Thi Kim Thu</w:t>
            </w:r>
          </w:p>
        </w:tc>
        <w:tc>
          <w:tcPr>
            <w:tcW w:w="16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5FF30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April 15, 1961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BBA57" w14:textId="0BCBD5E9" w:rsidR="009668B8" w:rsidRPr="003241DA" w:rsidRDefault="0032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347666" w:rsidRPr="003241DA">
              <w:rPr>
                <w:rFonts w:ascii="Arial" w:hAnsi="Arial"/>
                <w:bCs/>
                <w:color w:val="010000"/>
                <w:sz w:val="20"/>
              </w:rPr>
              <w:t xml:space="preserve"> Economics, Master of Economics</w:t>
            </w:r>
          </w:p>
        </w:tc>
        <w:tc>
          <w:tcPr>
            <w:tcW w:w="18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876A5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October, 2002</w:t>
            </w:r>
          </w:p>
        </w:tc>
      </w:tr>
    </w:tbl>
    <w:p w14:paraId="5B428BA2" w14:textId="26DF50FA" w:rsidR="009668B8" w:rsidRPr="003241DA" w:rsidRDefault="003476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>Chief Accountant</w:t>
      </w:r>
    </w:p>
    <w:tbl>
      <w:tblPr>
        <w:tblStyle w:val="a4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2006"/>
        <w:gridCol w:w="2350"/>
        <w:gridCol w:w="2845"/>
      </w:tblGrid>
      <w:tr w:rsidR="009668B8" w:rsidRPr="003241DA" w14:paraId="24008C58" w14:textId="77777777">
        <w:tc>
          <w:tcPr>
            <w:tcW w:w="18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39A13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Full name</w:t>
            </w:r>
          </w:p>
        </w:tc>
        <w:tc>
          <w:tcPr>
            <w:tcW w:w="2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A84AB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0960B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Professional Qualification</w:t>
            </w:r>
          </w:p>
        </w:tc>
        <w:tc>
          <w:tcPr>
            <w:tcW w:w="28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92300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Date of appointment / dismissal</w:t>
            </w:r>
          </w:p>
        </w:tc>
      </w:tr>
      <w:tr w:rsidR="009668B8" w:rsidRPr="003241DA" w14:paraId="6065D3F9" w14:textId="77777777">
        <w:tc>
          <w:tcPr>
            <w:tcW w:w="18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4E189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Ms. Pham Thi Bich Phuong</w:t>
            </w:r>
          </w:p>
        </w:tc>
        <w:tc>
          <w:tcPr>
            <w:tcW w:w="20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D2F3D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July 19, 1986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A3BA3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Accounting</w:t>
            </w:r>
          </w:p>
        </w:tc>
        <w:tc>
          <w:tcPr>
            <w:tcW w:w="28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E9515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Acting Chief Accountant February 01, 2021</w:t>
            </w:r>
          </w:p>
          <w:p w14:paraId="2D6A41AA" w14:textId="77777777" w:rsidR="009668B8" w:rsidRPr="003241DA" w:rsidRDefault="0034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3241DA">
              <w:rPr>
                <w:rFonts w:ascii="Arial" w:hAnsi="Arial"/>
                <w:bCs/>
                <w:color w:val="010000"/>
                <w:sz w:val="20"/>
              </w:rPr>
              <w:t>Appointed to be the Chief Accountant: March 28, 2022</w:t>
            </w:r>
          </w:p>
        </w:tc>
      </w:tr>
    </w:tbl>
    <w:p w14:paraId="3D81E0A8" w14:textId="77777777" w:rsidR="009668B8" w:rsidRPr="003241DA" w:rsidRDefault="00347666" w:rsidP="00327236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36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>Training on corporate governance:</w:t>
      </w:r>
    </w:p>
    <w:p w14:paraId="3A9467C5" w14:textId="6B338441" w:rsidR="009668B8" w:rsidRPr="003241DA" w:rsidRDefault="00347666" w:rsidP="00327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26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 xml:space="preserve">List of </w:t>
      </w:r>
      <w:r w:rsidR="00327236">
        <w:rPr>
          <w:rFonts w:ascii="Arial" w:hAnsi="Arial"/>
          <w:bCs/>
          <w:color w:val="010000"/>
          <w:sz w:val="20"/>
        </w:rPr>
        <w:t>related</w:t>
      </w:r>
      <w:r w:rsidRPr="003241DA">
        <w:rPr>
          <w:rFonts w:ascii="Arial" w:hAnsi="Arial"/>
          <w:bCs/>
          <w:color w:val="010000"/>
          <w:sz w:val="20"/>
        </w:rPr>
        <w:t xml:space="preserve"> persons of the public company (Annual report) and transactions between the </w:t>
      </w:r>
      <w:r w:rsidR="00327236">
        <w:rPr>
          <w:rFonts w:ascii="Arial" w:hAnsi="Arial"/>
          <w:bCs/>
          <w:color w:val="010000"/>
          <w:sz w:val="20"/>
        </w:rPr>
        <w:t>related</w:t>
      </w:r>
      <w:r w:rsidRPr="003241DA">
        <w:rPr>
          <w:rFonts w:ascii="Arial" w:hAnsi="Arial"/>
          <w:bCs/>
          <w:color w:val="010000"/>
          <w:sz w:val="20"/>
        </w:rPr>
        <w:t xml:space="preserve"> persons of the Company and the Company itself</w:t>
      </w:r>
    </w:p>
    <w:p w14:paraId="6A5DC921" w14:textId="5A049BFE" w:rsidR="009668B8" w:rsidRPr="003241DA" w:rsidRDefault="00347666" w:rsidP="003272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4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 xml:space="preserve">Transactions between the Company and </w:t>
      </w:r>
      <w:r w:rsidR="00327236">
        <w:rPr>
          <w:rFonts w:ascii="Arial" w:hAnsi="Arial"/>
          <w:bCs/>
          <w:color w:val="010000"/>
          <w:sz w:val="20"/>
        </w:rPr>
        <w:t>related</w:t>
      </w:r>
      <w:r w:rsidRPr="003241DA">
        <w:rPr>
          <w:rFonts w:ascii="Arial" w:hAnsi="Arial"/>
          <w:bCs/>
          <w:color w:val="010000"/>
          <w:sz w:val="20"/>
        </w:rPr>
        <w:t xml:space="preserve"> persons of the Company or between the Company and major shareholders, PDMR and </w:t>
      </w:r>
      <w:r w:rsidR="00327236">
        <w:rPr>
          <w:rFonts w:ascii="Arial" w:hAnsi="Arial"/>
          <w:bCs/>
          <w:color w:val="010000"/>
          <w:sz w:val="20"/>
        </w:rPr>
        <w:t>related</w:t>
      </w:r>
      <w:r w:rsidRPr="003241DA">
        <w:rPr>
          <w:rFonts w:ascii="Arial" w:hAnsi="Arial"/>
          <w:bCs/>
          <w:color w:val="010000"/>
          <w:sz w:val="20"/>
        </w:rPr>
        <w:t xml:space="preserve"> persons of PDMR: None.</w:t>
      </w:r>
    </w:p>
    <w:p w14:paraId="6C5811ED" w14:textId="45EE2CF9" w:rsidR="009668B8" w:rsidRPr="003241DA" w:rsidRDefault="00347666" w:rsidP="003272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5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 xml:space="preserve">Transactions between the Company’s PDMR, </w:t>
      </w:r>
      <w:r w:rsidR="00327236">
        <w:rPr>
          <w:rFonts w:ascii="Arial" w:hAnsi="Arial"/>
          <w:bCs/>
          <w:color w:val="010000"/>
          <w:sz w:val="20"/>
        </w:rPr>
        <w:t>related</w:t>
      </w:r>
      <w:r w:rsidRPr="003241DA">
        <w:rPr>
          <w:rFonts w:ascii="Arial" w:hAnsi="Arial"/>
          <w:bCs/>
          <w:color w:val="010000"/>
          <w:sz w:val="20"/>
        </w:rPr>
        <w:t xml:space="preserve"> persons of PDMR and subsidiaries, companies controlled by the Company: None.</w:t>
      </w:r>
    </w:p>
    <w:p w14:paraId="41E7708A" w14:textId="77777777" w:rsidR="009668B8" w:rsidRPr="003241DA" w:rsidRDefault="00347666" w:rsidP="003272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>Transactions between the Company and other entities/</w:t>
      </w:r>
    </w:p>
    <w:p w14:paraId="66D542C2" w14:textId="0745AE76" w:rsidR="009668B8" w:rsidRPr="003241DA" w:rsidRDefault="00347666" w:rsidP="003272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4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>Transactions between the Company and the company in which members of the Board of Directors, membe</w:t>
      </w:r>
      <w:r w:rsidR="00327236">
        <w:rPr>
          <w:rFonts w:ascii="Arial" w:hAnsi="Arial"/>
          <w:bCs/>
          <w:color w:val="010000"/>
          <w:sz w:val="20"/>
        </w:rPr>
        <w:t>rs of the Supervisory Board, Executive</w:t>
      </w:r>
      <w:r w:rsidRPr="003241DA">
        <w:rPr>
          <w:rFonts w:ascii="Arial" w:hAnsi="Arial"/>
          <w:bCs/>
          <w:color w:val="010000"/>
          <w:sz w:val="20"/>
        </w:rPr>
        <w:t xml:space="preserve"> Manager (the </w:t>
      </w:r>
      <w:r w:rsidR="00327236">
        <w:rPr>
          <w:rFonts w:ascii="Arial" w:hAnsi="Arial"/>
          <w:bCs/>
          <w:color w:val="010000"/>
          <w:sz w:val="20"/>
        </w:rPr>
        <w:t>Managing Director</w:t>
      </w:r>
      <w:r w:rsidRPr="003241DA">
        <w:rPr>
          <w:rFonts w:ascii="Arial" w:hAnsi="Arial"/>
          <w:bCs/>
          <w:color w:val="010000"/>
          <w:sz w:val="20"/>
        </w:rPr>
        <w:t>) and other managers</w:t>
      </w:r>
      <w:r w:rsidR="00327236">
        <w:rPr>
          <w:rFonts w:ascii="Arial" w:hAnsi="Arial"/>
          <w:bCs/>
          <w:color w:val="010000"/>
          <w:sz w:val="20"/>
        </w:rPr>
        <w:t xml:space="preserve"> who</w:t>
      </w:r>
      <w:r w:rsidRPr="003241DA">
        <w:rPr>
          <w:rFonts w:ascii="Arial" w:hAnsi="Arial"/>
          <w:bCs/>
          <w:color w:val="010000"/>
          <w:sz w:val="20"/>
        </w:rPr>
        <w:t xml:space="preserve"> have been founding members or members</w:t>
      </w:r>
      <w:r w:rsidR="00327236">
        <w:rPr>
          <w:rFonts w:ascii="Arial" w:hAnsi="Arial"/>
          <w:bCs/>
          <w:color w:val="010000"/>
          <w:sz w:val="20"/>
        </w:rPr>
        <w:t xml:space="preserve"> of the Board of Directors and </w:t>
      </w:r>
      <w:r w:rsidRPr="003241DA">
        <w:rPr>
          <w:rFonts w:ascii="Arial" w:hAnsi="Arial"/>
          <w:bCs/>
          <w:color w:val="010000"/>
          <w:sz w:val="20"/>
        </w:rPr>
        <w:t xml:space="preserve">Executive Manager (the </w:t>
      </w:r>
      <w:r w:rsidR="00327236">
        <w:rPr>
          <w:rFonts w:ascii="Arial" w:hAnsi="Arial"/>
          <w:bCs/>
          <w:color w:val="010000"/>
          <w:sz w:val="20"/>
        </w:rPr>
        <w:t>Managing Director</w:t>
      </w:r>
      <w:r w:rsidRPr="003241DA">
        <w:rPr>
          <w:rFonts w:ascii="Arial" w:hAnsi="Arial"/>
          <w:bCs/>
          <w:color w:val="010000"/>
          <w:sz w:val="20"/>
        </w:rPr>
        <w:t xml:space="preserve">) for the past three (03) years (calculated at </w:t>
      </w:r>
      <w:r w:rsidR="00327236">
        <w:rPr>
          <w:rFonts w:ascii="Arial" w:hAnsi="Arial"/>
          <w:bCs/>
          <w:color w:val="010000"/>
          <w:sz w:val="20"/>
        </w:rPr>
        <w:t>the date</w:t>
      </w:r>
      <w:bookmarkStart w:id="0" w:name="_GoBack"/>
      <w:bookmarkEnd w:id="0"/>
      <w:r w:rsidRPr="003241DA">
        <w:rPr>
          <w:rFonts w:ascii="Arial" w:hAnsi="Arial"/>
          <w:bCs/>
          <w:color w:val="010000"/>
          <w:sz w:val="20"/>
        </w:rPr>
        <w:t xml:space="preserve"> of reporting). None.</w:t>
      </w:r>
    </w:p>
    <w:p w14:paraId="1E6F0A82" w14:textId="4DC60F7A" w:rsidR="009668B8" w:rsidRPr="003241DA" w:rsidRDefault="00347666" w:rsidP="003272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4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lastRenderedPageBreak/>
        <w:t xml:space="preserve">Transactions between the Company and companies executed by the </w:t>
      </w:r>
      <w:r w:rsidR="00327236">
        <w:rPr>
          <w:rFonts w:ascii="Arial" w:hAnsi="Arial"/>
          <w:bCs/>
          <w:color w:val="010000"/>
          <w:sz w:val="20"/>
        </w:rPr>
        <w:t>related</w:t>
      </w:r>
      <w:r w:rsidRPr="003241DA">
        <w:rPr>
          <w:rFonts w:ascii="Arial" w:hAnsi="Arial"/>
          <w:bCs/>
          <w:color w:val="010000"/>
          <w:sz w:val="20"/>
        </w:rPr>
        <w:t xml:space="preserve"> people of members of the Board of Directors, members of the Supe</w:t>
      </w:r>
      <w:r w:rsidR="00327236">
        <w:rPr>
          <w:rFonts w:ascii="Arial" w:hAnsi="Arial"/>
          <w:bCs/>
          <w:color w:val="010000"/>
          <w:sz w:val="20"/>
        </w:rPr>
        <w:t>rvisory Board, Executive Manager (Managing Director</w:t>
      </w:r>
      <w:r w:rsidRPr="003241DA">
        <w:rPr>
          <w:rFonts w:ascii="Arial" w:hAnsi="Arial"/>
          <w:bCs/>
          <w:color w:val="010000"/>
          <w:sz w:val="20"/>
        </w:rPr>
        <w:t>) and other managers who are member</w:t>
      </w:r>
      <w:r w:rsidR="00327236">
        <w:rPr>
          <w:rFonts w:ascii="Arial" w:hAnsi="Arial"/>
          <w:bCs/>
          <w:color w:val="010000"/>
          <w:sz w:val="20"/>
        </w:rPr>
        <w:t>s of the Board of Directors and Executive Manager (Managing Director</w:t>
      </w:r>
      <w:r w:rsidRPr="003241DA">
        <w:rPr>
          <w:rFonts w:ascii="Arial" w:hAnsi="Arial"/>
          <w:bCs/>
          <w:color w:val="010000"/>
          <w:sz w:val="20"/>
        </w:rPr>
        <w:t>). None.</w:t>
      </w:r>
    </w:p>
    <w:p w14:paraId="24F2E4A3" w14:textId="2AC79672" w:rsidR="009668B8" w:rsidRPr="003241DA" w:rsidRDefault="00347666" w:rsidP="003272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4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 xml:space="preserve">Other transactions of the Company (if any) which can bring about material or non-material benefits to members of the Board of Directors, members of the </w:t>
      </w:r>
      <w:r w:rsidR="00327236">
        <w:rPr>
          <w:rFonts w:ascii="Arial" w:hAnsi="Arial"/>
          <w:bCs/>
          <w:color w:val="010000"/>
          <w:sz w:val="20"/>
        </w:rPr>
        <w:t>Supervisory Board, Executive</w:t>
      </w:r>
      <w:r w:rsidRPr="003241DA">
        <w:rPr>
          <w:rFonts w:ascii="Arial" w:hAnsi="Arial"/>
          <w:bCs/>
          <w:color w:val="010000"/>
          <w:sz w:val="20"/>
        </w:rPr>
        <w:t xml:space="preserve"> Manager (</w:t>
      </w:r>
      <w:r w:rsidR="00327236">
        <w:rPr>
          <w:rFonts w:ascii="Arial" w:hAnsi="Arial"/>
          <w:bCs/>
          <w:color w:val="010000"/>
          <w:sz w:val="20"/>
        </w:rPr>
        <w:t>Managing Director</w:t>
      </w:r>
      <w:r w:rsidRPr="003241DA">
        <w:rPr>
          <w:rFonts w:ascii="Arial" w:hAnsi="Arial"/>
          <w:bCs/>
          <w:color w:val="010000"/>
          <w:sz w:val="20"/>
        </w:rPr>
        <w:t>) and other managers: None.</w:t>
      </w:r>
    </w:p>
    <w:p w14:paraId="1539F8AA" w14:textId="5F244ADD" w:rsidR="009668B8" w:rsidRPr="003241DA" w:rsidRDefault="00347666" w:rsidP="00327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85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 xml:space="preserve">Share transactions of PDMR and </w:t>
      </w:r>
      <w:r w:rsidR="00327236">
        <w:rPr>
          <w:rFonts w:ascii="Arial" w:hAnsi="Arial"/>
          <w:bCs/>
          <w:color w:val="010000"/>
          <w:sz w:val="20"/>
        </w:rPr>
        <w:t>related</w:t>
      </w:r>
      <w:r w:rsidRPr="003241DA">
        <w:rPr>
          <w:rFonts w:ascii="Arial" w:hAnsi="Arial"/>
          <w:bCs/>
          <w:color w:val="010000"/>
          <w:sz w:val="20"/>
        </w:rPr>
        <w:t xml:space="preserve"> persons of PDMR (Annual report)</w:t>
      </w:r>
    </w:p>
    <w:p w14:paraId="6C05551E" w14:textId="03B9C502" w:rsidR="009668B8" w:rsidRPr="003241DA" w:rsidRDefault="00347666" w:rsidP="003272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3241DA">
        <w:rPr>
          <w:rFonts w:ascii="Arial" w:hAnsi="Arial"/>
          <w:bCs/>
          <w:color w:val="010000"/>
          <w:sz w:val="20"/>
        </w:rPr>
        <w:t xml:space="preserve">Transaction of PDMR and </w:t>
      </w:r>
      <w:r w:rsidR="00327236">
        <w:rPr>
          <w:rFonts w:ascii="Arial" w:hAnsi="Arial"/>
          <w:bCs/>
          <w:color w:val="010000"/>
          <w:sz w:val="20"/>
        </w:rPr>
        <w:t>related</w:t>
      </w:r>
      <w:r w:rsidRPr="003241DA">
        <w:rPr>
          <w:rFonts w:ascii="Arial" w:hAnsi="Arial"/>
          <w:bCs/>
          <w:color w:val="010000"/>
          <w:sz w:val="20"/>
        </w:rPr>
        <w:t xml:space="preserve"> persons related to the Company’s shares:</w:t>
      </w:r>
    </w:p>
    <w:p w14:paraId="287D72C0" w14:textId="77777777" w:rsidR="009668B8" w:rsidRPr="003241DA" w:rsidRDefault="00347666" w:rsidP="00327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bookmarkStart w:id="1" w:name="_heading=h.gjdgxs"/>
      <w:bookmarkEnd w:id="1"/>
      <w:r w:rsidRPr="003241DA">
        <w:rPr>
          <w:rFonts w:ascii="Arial" w:hAnsi="Arial"/>
          <w:bCs/>
          <w:color w:val="010000"/>
          <w:sz w:val="20"/>
        </w:rPr>
        <w:t>Other significant issues: None.</w:t>
      </w:r>
    </w:p>
    <w:p w14:paraId="6FA7F3A2" w14:textId="77777777" w:rsidR="009668B8" w:rsidRPr="003241DA" w:rsidRDefault="009668B8" w:rsidP="0032723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</w:p>
    <w:sectPr w:rsidR="009668B8" w:rsidRPr="003241DA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5A59"/>
    <w:multiLevelType w:val="multilevel"/>
    <w:tmpl w:val="C290A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460"/>
    <w:multiLevelType w:val="multilevel"/>
    <w:tmpl w:val="D160CE0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6B4585B"/>
    <w:multiLevelType w:val="multilevel"/>
    <w:tmpl w:val="CDDE5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F0057"/>
    <w:multiLevelType w:val="multilevel"/>
    <w:tmpl w:val="7BD4EA7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57D08F0"/>
    <w:multiLevelType w:val="multilevel"/>
    <w:tmpl w:val="452C2D2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6262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3115DC4"/>
    <w:multiLevelType w:val="multilevel"/>
    <w:tmpl w:val="BF9E9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7192E"/>
    <w:multiLevelType w:val="multilevel"/>
    <w:tmpl w:val="7A466FF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C412924"/>
    <w:multiLevelType w:val="multilevel"/>
    <w:tmpl w:val="11962EF6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B8"/>
    <w:rsid w:val="003241DA"/>
    <w:rsid w:val="00327236"/>
    <w:rsid w:val="00347666"/>
    <w:rsid w:val="009668B8"/>
    <w:rsid w:val="00A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7803"/>
  <w15:docId w15:val="{76B48838-C753-4CE6-B748-20560B44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line="259" w:lineRule="auto"/>
      <w:ind w:firstLine="96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264" w:lineRule="auto"/>
      <w:ind w:firstLine="7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71" w:lineRule="auto"/>
      <w:ind w:left="3020"/>
      <w:outlineLvl w:val="0"/>
    </w:pPr>
    <w:rPr>
      <w:rFonts w:ascii="Tahoma" w:eastAsia="Tahoma" w:hAnsi="Tahoma" w:cs="Tahoma"/>
      <w:sz w:val="28"/>
      <w:szCs w:val="28"/>
      <w:shd w:val="clear" w:color="auto" w:fill="FFFFFF"/>
    </w:rPr>
  </w:style>
  <w:style w:type="paragraph" w:customStyle="1" w:styleId="Heading21">
    <w:name w:val="Heading #2"/>
    <w:basedOn w:val="Normal"/>
    <w:link w:val="Heading20"/>
    <w:pPr>
      <w:spacing w:line="204" w:lineRule="auto"/>
      <w:ind w:left="30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left="3020"/>
    </w:pPr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comfish@incomfis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3ZPKT0Ksr9wDaIDMBmhbx0XEww==">CgMxLjAyCGguZ2pkZ3hzOAByITFNNlZBZmZRaFVzTzkwRjc5bnFpSFE2bkp3S1RJWmFFRA==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2024-01-29T03:39:00Z</dcterms:created>
  <dcterms:modified xsi:type="dcterms:W3CDTF">2024-01-29T03:39:00Z</dcterms:modified>
</cp:coreProperties>
</file>