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EC923" w14:textId="77777777" w:rsidR="00CA52EC" w:rsidRPr="00040143" w:rsidRDefault="00CA52EC" w:rsidP="00EA4A0A">
      <w:pPr>
        <w:pStyle w:val="BodyText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2"/>
        </w:rPr>
      </w:pPr>
      <w:r w:rsidRPr="00040143">
        <w:rPr>
          <w:rFonts w:ascii="Arial" w:hAnsi="Arial" w:cs="Arial"/>
          <w:b/>
          <w:color w:val="010000"/>
          <w:sz w:val="20"/>
        </w:rPr>
        <w:t>MCG: Board Resolution</w:t>
      </w:r>
    </w:p>
    <w:p w14:paraId="7CE212C3" w14:textId="64AF7572" w:rsidR="00CA52EC" w:rsidRPr="00040143" w:rsidRDefault="00CA52EC" w:rsidP="00EA4A0A">
      <w:pPr>
        <w:pStyle w:val="BodyText"/>
        <w:spacing w:after="120" w:line="360" w:lineRule="auto"/>
        <w:jc w:val="both"/>
        <w:rPr>
          <w:rFonts w:ascii="Arial" w:hAnsi="Arial" w:cs="Arial"/>
          <w:bCs/>
          <w:color w:val="010000"/>
          <w:sz w:val="20"/>
          <w:szCs w:val="22"/>
        </w:rPr>
      </w:pPr>
      <w:r w:rsidRPr="00040143">
        <w:rPr>
          <w:rFonts w:ascii="Arial" w:hAnsi="Arial" w:cs="Arial"/>
          <w:color w:val="010000"/>
          <w:sz w:val="20"/>
        </w:rPr>
        <w:t xml:space="preserve">On January 24, 2024, MCG Energy and Real Estate JSC announced Resolution No. 52/2024/NQ-HDQT on approving contracts/transactions between the Company and affiliated parties in 2024 as follows: </w:t>
      </w:r>
    </w:p>
    <w:p w14:paraId="36FAA2C0" w14:textId="61ED8BE8" w:rsidR="00D70683" w:rsidRPr="00040143" w:rsidRDefault="00BC656C" w:rsidP="00EA4A0A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40143">
        <w:rPr>
          <w:rFonts w:ascii="Arial" w:hAnsi="Arial" w:cs="Arial"/>
          <w:color w:val="010000"/>
          <w:sz w:val="20"/>
        </w:rPr>
        <w:t>Article 1. Approve the policy of the Company signing and implementing Contracts/Transactions with</w:t>
      </w:r>
      <w:r w:rsidR="00040143" w:rsidRPr="00040143">
        <w:rPr>
          <w:rFonts w:ascii="Arial" w:hAnsi="Arial" w:cs="Arial"/>
          <w:color w:val="010000"/>
          <w:sz w:val="20"/>
        </w:rPr>
        <w:t xml:space="preserve"> </w:t>
      </w:r>
      <w:r w:rsidRPr="00040143">
        <w:rPr>
          <w:rFonts w:ascii="Arial" w:hAnsi="Arial" w:cs="Arial"/>
          <w:color w:val="010000"/>
          <w:sz w:val="20"/>
        </w:rPr>
        <w:t xml:space="preserve">Subsidiaries owned directly or indirectly by the Company (from 51% of charter capital), affiliated enterprises, affiliated persons </w:t>
      </w:r>
      <w:r w:rsidR="00EA4A0A">
        <w:rPr>
          <w:rFonts w:ascii="Arial" w:hAnsi="Arial" w:cs="Arial"/>
          <w:color w:val="010000"/>
          <w:sz w:val="20"/>
        </w:rPr>
        <w:t>under the</w:t>
      </w:r>
      <w:r w:rsidRPr="00040143">
        <w:rPr>
          <w:rFonts w:ascii="Arial" w:hAnsi="Arial" w:cs="Arial"/>
          <w:color w:val="010000"/>
          <w:sz w:val="20"/>
        </w:rPr>
        <w:t xml:space="preserve"> Company</w:t>
      </w:r>
      <w:r w:rsidR="00EA4A0A">
        <w:rPr>
          <w:rFonts w:ascii="Arial" w:hAnsi="Arial" w:cs="Arial"/>
          <w:color w:val="010000"/>
          <w:sz w:val="20"/>
        </w:rPr>
        <w:t>’s</w:t>
      </w:r>
      <w:r w:rsidRPr="00040143">
        <w:rPr>
          <w:rFonts w:ascii="Arial" w:hAnsi="Arial" w:cs="Arial"/>
          <w:color w:val="010000"/>
          <w:sz w:val="20"/>
        </w:rPr>
        <w:t xml:space="preserve"> Charter, the Law on E</w:t>
      </w:r>
      <w:r w:rsidR="00EA4A0A">
        <w:rPr>
          <w:rFonts w:ascii="Arial" w:hAnsi="Arial" w:cs="Arial"/>
          <w:color w:val="010000"/>
          <w:sz w:val="20"/>
        </w:rPr>
        <w:t xml:space="preserve">nterprises and </w:t>
      </w:r>
      <w:r w:rsidRPr="00040143">
        <w:rPr>
          <w:rFonts w:ascii="Arial" w:hAnsi="Arial" w:cs="Arial"/>
          <w:color w:val="010000"/>
          <w:sz w:val="20"/>
        </w:rPr>
        <w:t>Law on Securities, that are expected to arise in 2024 according to the limit frame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004"/>
        <w:gridCol w:w="3353"/>
      </w:tblGrid>
      <w:tr w:rsidR="003E60CF" w:rsidRPr="00040143" w14:paraId="6BB960BE" w14:textId="77777777" w:rsidTr="00040143">
        <w:tc>
          <w:tcPr>
            <w:tcW w:w="366" w:type="pct"/>
            <w:shd w:val="clear" w:color="auto" w:fill="auto"/>
            <w:vAlign w:val="center"/>
          </w:tcPr>
          <w:p w14:paraId="618C43E7" w14:textId="77777777" w:rsidR="003E60CF" w:rsidRPr="00040143" w:rsidRDefault="003E60CF" w:rsidP="006D20B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4014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775" w:type="pct"/>
            <w:shd w:val="clear" w:color="auto" w:fill="auto"/>
            <w:vAlign w:val="center"/>
          </w:tcPr>
          <w:p w14:paraId="5D15D2F4" w14:textId="53E78A3A" w:rsidR="003E60CF" w:rsidRPr="00040143" w:rsidRDefault="003E60CF" w:rsidP="006D20B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40143">
              <w:rPr>
                <w:rFonts w:ascii="Arial" w:hAnsi="Arial" w:cs="Arial"/>
                <w:color w:val="010000"/>
                <w:sz w:val="20"/>
              </w:rPr>
              <w:t>Transaction type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31BE4713" w14:textId="768E2440" w:rsidR="003E60CF" w:rsidRPr="00040143" w:rsidRDefault="003E60CF" w:rsidP="006D20B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40143">
              <w:rPr>
                <w:rFonts w:ascii="Arial" w:hAnsi="Arial" w:cs="Arial"/>
                <w:color w:val="010000"/>
                <w:sz w:val="20"/>
              </w:rPr>
              <w:t>Limit frame</w:t>
            </w:r>
            <w:r w:rsidRPr="00040143">
              <w:rPr>
                <w:rFonts w:ascii="Arial" w:hAnsi="Arial" w:cs="Arial"/>
                <w:color w:val="010000"/>
                <w:sz w:val="20"/>
              </w:rPr>
              <w:tab/>
            </w:r>
          </w:p>
        </w:tc>
      </w:tr>
      <w:tr w:rsidR="003E60CF" w:rsidRPr="00040143" w14:paraId="043C3EE9" w14:textId="77777777" w:rsidTr="00040143">
        <w:tc>
          <w:tcPr>
            <w:tcW w:w="366" w:type="pct"/>
            <w:shd w:val="clear" w:color="auto" w:fill="auto"/>
            <w:vAlign w:val="center"/>
          </w:tcPr>
          <w:p w14:paraId="41C145BF" w14:textId="77777777" w:rsidR="003E60CF" w:rsidRPr="00040143" w:rsidRDefault="003E60CF" w:rsidP="006D20B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4014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775" w:type="pct"/>
            <w:shd w:val="clear" w:color="auto" w:fill="auto"/>
            <w:vAlign w:val="center"/>
          </w:tcPr>
          <w:p w14:paraId="2E9D7971" w14:textId="77777777" w:rsidR="003E60CF" w:rsidRPr="00040143" w:rsidRDefault="003E60CF" w:rsidP="006D20B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40143">
              <w:rPr>
                <w:rFonts w:ascii="Arial" w:hAnsi="Arial" w:cs="Arial"/>
                <w:color w:val="010000"/>
                <w:sz w:val="20"/>
              </w:rPr>
              <w:t>Contracts for capital transfer/share transfer/project transfer/asset purchase and sale, liquidation of capital contribution agreements (including Deposit Contracts/Agreements to serve the above transactions)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6A48C1B5" w14:textId="77777777" w:rsidR="003E60CF" w:rsidRPr="00040143" w:rsidRDefault="003E60CF" w:rsidP="006D20B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40143">
              <w:rPr>
                <w:rFonts w:ascii="Arial" w:hAnsi="Arial" w:cs="Arial"/>
                <w:color w:val="010000"/>
                <w:sz w:val="20"/>
              </w:rPr>
              <w:t>Less than 35% of the total asset value recorded in the latest Financial Statements of MCG Energy and Real Estate JSC</w:t>
            </w:r>
          </w:p>
        </w:tc>
      </w:tr>
      <w:tr w:rsidR="003E60CF" w:rsidRPr="00040143" w14:paraId="0F7E8551" w14:textId="77777777" w:rsidTr="00040143">
        <w:tc>
          <w:tcPr>
            <w:tcW w:w="366" w:type="pct"/>
            <w:shd w:val="clear" w:color="auto" w:fill="auto"/>
            <w:vAlign w:val="center"/>
          </w:tcPr>
          <w:p w14:paraId="16461151" w14:textId="77777777" w:rsidR="003E60CF" w:rsidRPr="00040143" w:rsidRDefault="003E60CF" w:rsidP="006D20B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4014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775" w:type="pct"/>
            <w:shd w:val="clear" w:color="auto" w:fill="auto"/>
            <w:vAlign w:val="center"/>
          </w:tcPr>
          <w:p w14:paraId="19130B66" w14:textId="77777777" w:rsidR="003E60CF" w:rsidRPr="00040143" w:rsidRDefault="003E60CF" w:rsidP="006D20B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40143">
              <w:rPr>
                <w:rFonts w:ascii="Arial" w:hAnsi="Arial" w:cs="Arial"/>
                <w:color w:val="010000"/>
                <w:sz w:val="20"/>
              </w:rPr>
              <w:t>Business cooperation contracts, joint venture and association contracts (including Deposit Contracts/Agreements to serve the above transactions)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0AA8F9A9" w14:textId="77777777" w:rsidR="003E60CF" w:rsidRPr="00040143" w:rsidRDefault="003E60CF" w:rsidP="006D20B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40143">
              <w:rPr>
                <w:rFonts w:ascii="Arial" w:hAnsi="Arial" w:cs="Arial"/>
                <w:color w:val="010000"/>
                <w:sz w:val="20"/>
              </w:rPr>
              <w:t>Less than 35% of the total asset value recorded in the latest Financial Statements of MCG Energy and Real Estate JSC</w:t>
            </w:r>
          </w:p>
        </w:tc>
      </w:tr>
      <w:tr w:rsidR="003E60CF" w:rsidRPr="00040143" w14:paraId="40F82966" w14:textId="77777777" w:rsidTr="00040143">
        <w:tc>
          <w:tcPr>
            <w:tcW w:w="366" w:type="pct"/>
            <w:shd w:val="clear" w:color="auto" w:fill="auto"/>
            <w:vAlign w:val="center"/>
          </w:tcPr>
          <w:p w14:paraId="03CD1B64" w14:textId="77777777" w:rsidR="003E60CF" w:rsidRPr="00040143" w:rsidRDefault="003E60CF" w:rsidP="006D20B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4014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775" w:type="pct"/>
            <w:shd w:val="clear" w:color="auto" w:fill="auto"/>
            <w:vAlign w:val="center"/>
          </w:tcPr>
          <w:p w14:paraId="6EA0902F" w14:textId="77777777" w:rsidR="003E60CF" w:rsidRPr="00040143" w:rsidRDefault="003E60CF" w:rsidP="006D20B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40143">
              <w:rPr>
                <w:rFonts w:ascii="Arial" w:hAnsi="Arial" w:cs="Arial"/>
                <w:color w:val="010000"/>
                <w:sz w:val="20"/>
              </w:rPr>
              <w:t>Borrowing/lending contracts/transactions within the group between the Company and its subsidiaries, affiliated companies, and related parties; Guarantee giving/receiving transactions between the Company and its subsidiaries and affiliated parties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20C85882" w14:textId="4A4FE3F5" w:rsidR="003E60CF" w:rsidRPr="00040143" w:rsidRDefault="003E60CF" w:rsidP="006D20B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40143">
              <w:rPr>
                <w:rFonts w:ascii="Arial" w:hAnsi="Arial" w:cs="Arial"/>
                <w:color w:val="010000"/>
                <w:sz w:val="20"/>
              </w:rPr>
              <w:t>Less than 35% of the total asset value recorded in the latest Financial Statements of MCG Energy and Real Estate JSC</w:t>
            </w:r>
          </w:p>
        </w:tc>
      </w:tr>
      <w:tr w:rsidR="003E60CF" w:rsidRPr="00040143" w14:paraId="5A24D861" w14:textId="77777777" w:rsidTr="00040143">
        <w:tc>
          <w:tcPr>
            <w:tcW w:w="366" w:type="pct"/>
            <w:shd w:val="clear" w:color="auto" w:fill="auto"/>
            <w:vAlign w:val="center"/>
          </w:tcPr>
          <w:p w14:paraId="703D6246" w14:textId="77777777" w:rsidR="003E60CF" w:rsidRPr="00040143" w:rsidRDefault="003E60CF" w:rsidP="006D20B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4014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775" w:type="pct"/>
            <w:shd w:val="clear" w:color="auto" w:fill="auto"/>
            <w:vAlign w:val="center"/>
          </w:tcPr>
          <w:p w14:paraId="7DF01562" w14:textId="0A8D97B4" w:rsidR="003E60CF" w:rsidRPr="00040143" w:rsidRDefault="003E60CF" w:rsidP="006D20B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40143">
              <w:rPr>
                <w:rFonts w:ascii="Arial" w:hAnsi="Arial" w:cs="Arial"/>
                <w:color w:val="010000"/>
                <w:sz w:val="20"/>
              </w:rPr>
              <w:t>Contracts/Transactions serving daily and regular production and business activities of the Company and its subsidiaries, joint ventures and affiliated companies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7E714303" w14:textId="77777777" w:rsidR="003E60CF" w:rsidRPr="00040143" w:rsidRDefault="003E60CF" w:rsidP="006D20B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40143">
              <w:rPr>
                <w:rFonts w:ascii="Arial" w:hAnsi="Arial" w:cs="Arial"/>
                <w:color w:val="010000"/>
                <w:sz w:val="20"/>
              </w:rPr>
              <w:t>Less than VND 100 billion</w:t>
            </w:r>
          </w:p>
        </w:tc>
      </w:tr>
    </w:tbl>
    <w:p w14:paraId="6A0AC366" w14:textId="77777777" w:rsidR="00D70683" w:rsidRPr="00040143" w:rsidRDefault="00BC656C" w:rsidP="006D20BA">
      <w:pPr>
        <w:pStyle w:val="Heading10"/>
        <w:keepNext/>
        <w:spacing w:after="120" w:line="360" w:lineRule="auto"/>
        <w:outlineLvl w:val="9"/>
        <w:rPr>
          <w:rFonts w:ascii="Arial" w:hAnsi="Arial" w:cs="Arial"/>
          <w:b w:val="0"/>
          <w:color w:val="010000"/>
          <w:sz w:val="20"/>
        </w:rPr>
      </w:pPr>
      <w:r w:rsidRPr="00040143">
        <w:rPr>
          <w:rFonts w:ascii="Arial" w:hAnsi="Arial" w:cs="Arial"/>
          <w:b w:val="0"/>
          <w:color w:val="010000"/>
          <w:sz w:val="20"/>
        </w:rPr>
        <w:t>‎‎Article 2. Implementation</w:t>
      </w:r>
    </w:p>
    <w:p w14:paraId="39F71518" w14:textId="43968FDC" w:rsidR="00D70683" w:rsidRPr="00040143" w:rsidRDefault="00BC656C" w:rsidP="00040143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40143">
        <w:rPr>
          <w:rFonts w:ascii="Arial" w:hAnsi="Arial" w:cs="Arial"/>
          <w:color w:val="010000"/>
          <w:sz w:val="20"/>
        </w:rPr>
        <w:t xml:space="preserve">Assign/authorize the </w:t>
      </w:r>
      <w:r w:rsidR="00EA4A0A">
        <w:rPr>
          <w:rFonts w:ascii="Arial" w:hAnsi="Arial" w:cs="Arial"/>
          <w:color w:val="010000"/>
          <w:sz w:val="20"/>
        </w:rPr>
        <w:t>Managing Director</w:t>
      </w:r>
      <w:r w:rsidRPr="00040143">
        <w:rPr>
          <w:rFonts w:ascii="Arial" w:hAnsi="Arial" w:cs="Arial"/>
          <w:color w:val="010000"/>
          <w:sz w:val="20"/>
        </w:rPr>
        <w:t xml:space="preserve"> of the Company, based on the actual situation and needs of the Company's production and business activities, to have full authority to decide, adjust, amend and supplement the terms and conditions; sign Contracts/Transactions with subsidiaries, affiliated enterprises, affiliated persons (including cancellation, termination, liquidation...); at the same time, organize the implementation of Contracts/Transactions in accordance with the limit frame approved by the Board of Directors to ensure compliance with the Company's interests and compliance with the law.</w:t>
      </w:r>
    </w:p>
    <w:p w14:paraId="56F108EB" w14:textId="77777777" w:rsidR="00D70683" w:rsidRPr="00040143" w:rsidRDefault="00BC656C" w:rsidP="006D20BA">
      <w:pPr>
        <w:pStyle w:val="BodyText"/>
        <w:spacing w:after="120" w:line="360" w:lineRule="auto"/>
        <w:rPr>
          <w:rFonts w:ascii="Arial" w:hAnsi="Arial" w:cs="Arial"/>
          <w:color w:val="010000"/>
          <w:sz w:val="20"/>
        </w:rPr>
      </w:pPr>
      <w:r w:rsidRPr="00040143">
        <w:rPr>
          <w:rFonts w:ascii="Arial" w:hAnsi="Arial" w:cs="Arial"/>
          <w:color w:val="010000"/>
          <w:sz w:val="20"/>
        </w:rPr>
        <w:t>‎‎Article 3. Terms of enforcement</w:t>
      </w:r>
    </w:p>
    <w:p w14:paraId="77EFF8FB" w14:textId="53760C72" w:rsidR="00D70683" w:rsidRPr="00040143" w:rsidRDefault="00BC656C" w:rsidP="006D20BA">
      <w:pPr>
        <w:pStyle w:val="BodyText"/>
        <w:spacing w:after="120" w:line="360" w:lineRule="auto"/>
        <w:rPr>
          <w:rFonts w:ascii="Arial" w:hAnsi="Arial" w:cs="Arial"/>
          <w:color w:val="010000"/>
          <w:sz w:val="20"/>
        </w:rPr>
      </w:pPr>
      <w:r w:rsidRPr="00040143">
        <w:rPr>
          <w:rFonts w:ascii="Arial" w:hAnsi="Arial" w:cs="Arial"/>
          <w:color w:val="010000"/>
          <w:sz w:val="20"/>
        </w:rPr>
        <w:t xml:space="preserve">This </w:t>
      </w:r>
      <w:r w:rsidR="00EA4A0A">
        <w:rPr>
          <w:rFonts w:ascii="Arial" w:hAnsi="Arial" w:cs="Arial"/>
          <w:color w:val="010000"/>
          <w:sz w:val="20"/>
        </w:rPr>
        <w:t xml:space="preserve">Board </w:t>
      </w:r>
      <w:r w:rsidRPr="00040143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6456DB7A" w14:textId="587E6706" w:rsidR="00D70683" w:rsidRPr="00040143" w:rsidRDefault="00BC656C" w:rsidP="006D20BA">
      <w:pPr>
        <w:pStyle w:val="BodyText"/>
        <w:spacing w:after="120" w:line="360" w:lineRule="auto"/>
        <w:rPr>
          <w:rFonts w:ascii="Arial" w:hAnsi="Arial" w:cs="Arial"/>
          <w:color w:val="010000"/>
          <w:sz w:val="20"/>
        </w:rPr>
      </w:pPr>
      <w:r w:rsidRPr="00040143">
        <w:rPr>
          <w:rFonts w:ascii="Arial" w:hAnsi="Arial" w:cs="Arial"/>
          <w:color w:val="010000"/>
          <w:sz w:val="20"/>
        </w:rPr>
        <w:t xml:space="preserve">Members of the Board of Directors, </w:t>
      </w:r>
      <w:r w:rsidR="00EA4A0A">
        <w:rPr>
          <w:rFonts w:ascii="Arial" w:hAnsi="Arial" w:cs="Arial"/>
          <w:color w:val="010000"/>
          <w:sz w:val="20"/>
        </w:rPr>
        <w:t>Executive Board</w:t>
      </w:r>
      <w:bookmarkStart w:id="0" w:name="_GoBack"/>
      <w:bookmarkEnd w:id="0"/>
      <w:r w:rsidRPr="00040143">
        <w:rPr>
          <w:rFonts w:ascii="Arial" w:hAnsi="Arial" w:cs="Arial"/>
          <w:color w:val="010000"/>
          <w:sz w:val="20"/>
        </w:rPr>
        <w:t xml:space="preserve"> and related </w:t>
      </w:r>
      <w:r w:rsidR="00040143" w:rsidRPr="00040143">
        <w:rPr>
          <w:rFonts w:ascii="Arial" w:hAnsi="Arial" w:cs="Arial"/>
          <w:color w:val="010000"/>
          <w:sz w:val="20"/>
        </w:rPr>
        <w:t>individuals</w:t>
      </w:r>
      <w:r w:rsidRPr="00040143">
        <w:rPr>
          <w:rFonts w:ascii="Arial" w:hAnsi="Arial" w:cs="Arial"/>
          <w:color w:val="010000"/>
          <w:sz w:val="20"/>
        </w:rPr>
        <w:t xml:space="preserve"> and units are responsible for implementing this Resolution.</w:t>
      </w:r>
    </w:p>
    <w:sectPr w:rsidR="00D70683" w:rsidRPr="00040143" w:rsidSect="006D20BA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BA2CE" w14:textId="77777777" w:rsidR="00F21E3B" w:rsidRDefault="00F21E3B">
      <w:r>
        <w:separator/>
      </w:r>
    </w:p>
  </w:endnote>
  <w:endnote w:type="continuationSeparator" w:id="0">
    <w:p w14:paraId="0388D2D0" w14:textId="77777777" w:rsidR="00F21E3B" w:rsidRDefault="00F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2C7B6" w14:textId="77777777" w:rsidR="00F21E3B" w:rsidRDefault="00F21E3B"/>
  </w:footnote>
  <w:footnote w:type="continuationSeparator" w:id="0">
    <w:p w14:paraId="2DA9BA0E" w14:textId="77777777" w:rsidR="00F21E3B" w:rsidRDefault="00F21E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B6EDB"/>
    <w:multiLevelType w:val="multilevel"/>
    <w:tmpl w:val="867E20C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83"/>
    <w:rsid w:val="00040143"/>
    <w:rsid w:val="000C3CAC"/>
    <w:rsid w:val="003E60CF"/>
    <w:rsid w:val="006D20BA"/>
    <w:rsid w:val="00812FAF"/>
    <w:rsid w:val="00BC656C"/>
    <w:rsid w:val="00CA52EC"/>
    <w:rsid w:val="00D70683"/>
    <w:rsid w:val="00EA4A0A"/>
    <w:rsid w:val="00F2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9F239"/>
  <w15:docId w15:val="{D14D1385-2714-431F-9CC0-8582401D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ind w:firstLine="2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2024-01-29T03:01:00Z</dcterms:created>
  <dcterms:modified xsi:type="dcterms:W3CDTF">2024-01-29T03:01:00Z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a22161e01ef68db7a2443ab14cd6d34a4a7cf88800d473e767b6ebf1c006b569</vt:lpwstr>
  </property>
</Properties>
</file>