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E7C6" w14:textId="77777777" w:rsidR="004006FD" w:rsidRPr="00F64878" w:rsidRDefault="004006FD" w:rsidP="00AA6C6F">
      <w:pPr>
        <w:pStyle w:val="BodyText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F64878">
        <w:rPr>
          <w:rFonts w:ascii="Arial" w:hAnsi="Arial" w:cs="Arial"/>
          <w:b/>
          <w:color w:val="010000"/>
          <w:sz w:val="20"/>
        </w:rPr>
        <w:t>MLC: Board Resolution</w:t>
      </w:r>
    </w:p>
    <w:p w14:paraId="1C5B3275" w14:textId="44772085" w:rsidR="004006FD" w:rsidRPr="00F64878" w:rsidRDefault="004006FD" w:rsidP="00AA6C6F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64878">
        <w:rPr>
          <w:rFonts w:ascii="Arial" w:hAnsi="Arial" w:cs="Arial"/>
          <w:color w:val="010000"/>
          <w:sz w:val="20"/>
        </w:rPr>
        <w:t xml:space="preserve">On January 25, 2024, Lao Cai Urban Environment Joint Stock Company announced Resolution No. 01/NQ-HDQT as follows: </w:t>
      </w:r>
    </w:p>
    <w:p w14:paraId="066CE9DA" w14:textId="77777777" w:rsidR="004006FD" w:rsidRPr="00F64878" w:rsidRDefault="004006FD" w:rsidP="00AA6C6F">
      <w:pP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8"/>
        </w:rPr>
      </w:pPr>
      <w:r w:rsidRPr="00F64878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1B54150F" w14:textId="46C4A51D" w:rsidR="004006FD" w:rsidRPr="00F64878" w:rsidRDefault="00AA6C6F" w:rsidP="00AA6C6F">
      <w:pPr>
        <w:pStyle w:val="ListParagraph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  <w:szCs w:val="28"/>
        </w:rPr>
      </w:pPr>
      <w:r>
        <w:rPr>
          <w:rFonts w:ascii="Arial" w:hAnsi="Arial" w:cs="Arial"/>
          <w:color w:val="010000"/>
          <w:sz w:val="20"/>
        </w:rPr>
        <w:t>Earmark</w:t>
      </w:r>
      <w:r w:rsidR="004006FD" w:rsidRPr="00F64878">
        <w:rPr>
          <w:rFonts w:ascii="Arial" w:hAnsi="Arial" w:cs="Arial"/>
          <w:color w:val="010000"/>
          <w:sz w:val="20"/>
        </w:rPr>
        <w:t xml:space="preserve"> the welfare fund of VND 237,500,000 </w:t>
      </w:r>
      <w:r>
        <w:rPr>
          <w:rFonts w:ascii="Arial" w:hAnsi="Arial" w:cs="Arial"/>
          <w:color w:val="010000"/>
          <w:sz w:val="20"/>
        </w:rPr>
        <w:t>for</w:t>
      </w:r>
      <w:r w:rsidR="004006FD" w:rsidRPr="00F64878">
        <w:rPr>
          <w:rFonts w:ascii="Arial" w:hAnsi="Arial" w:cs="Arial"/>
          <w:color w:val="010000"/>
          <w:sz w:val="20"/>
        </w:rPr>
        <w:t xml:space="preserve"> the Lunar New Year and other expenses in 2024.</w:t>
      </w:r>
    </w:p>
    <w:p w14:paraId="03B89128" w14:textId="3159D0F7" w:rsidR="004006FD" w:rsidRPr="00F64878" w:rsidRDefault="00AA6C6F" w:rsidP="00AA6C6F">
      <w:pPr>
        <w:pStyle w:val="ListParagraph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  <w:szCs w:val="28"/>
        </w:rPr>
      </w:pPr>
      <w:r>
        <w:rPr>
          <w:rFonts w:ascii="Arial" w:hAnsi="Arial" w:cs="Arial"/>
          <w:color w:val="010000"/>
          <w:sz w:val="20"/>
        </w:rPr>
        <w:t>Earmark</w:t>
      </w:r>
      <w:r w:rsidR="004006FD" w:rsidRPr="00F64878">
        <w:rPr>
          <w:rFonts w:ascii="Arial" w:hAnsi="Arial" w:cs="Arial"/>
          <w:color w:val="010000"/>
          <w:sz w:val="20"/>
        </w:rPr>
        <w:t xml:space="preserve"> a budget of VND 15,000,000 to visit and give gifts during the Lunar New Year 2024 to Ban Lien Commune, Bac Ha District in </w:t>
      </w:r>
      <w:r>
        <w:rPr>
          <w:rFonts w:ascii="Arial" w:hAnsi="Arial" w:cs="Arial"/>
          <w:color w:val="010000"/>
          <w:sz w:val="20"/>
        </w:rPr>
        <w:t>an aid program for</w:t>
      </w:r>
      <w:r w:rsidR="004006FD" w:rsidRPr="00F64878">
        <w:rPr>
          <w:rFonts w:ascii="Arial" w:hAnsi="Arial" w:cs="Arial"/>
          <w:color w:val="010000"/>
          <w:sz w:val="20"/>
        </w:rPr>
        <w:t xml:space="preserve"> the commune build new rural areas and sustainably reduce poverty in 2024.</w:t>
      </w:r>
    </w:p>
    <w:p w14:paraId="5AA5618E" w14:textId="067BE58C" w:rsidR="004006FD" w:rsidRPr="00F64878" w:rsidRDefault="00F64878" w:rsidP="00AA6C6F">
      <w:pPr>
        <w:pStyle w:val="ListParagraph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  <w:szCs w:val="28"/>
        </w:rPr>
      </w:pPr>
      <w:r w:rsidRPr="00F64878">
        <w:rPr>
          <w:rFonts w:ascii="Arial" w:hAnsi="Arial" w:cs="Arial"/>
          <w:color w:val="010000"/>
          <w:sz w:val="20"/>
        </w:rPr>
        <w:t xml:space="preserve">Annual </w:t>
      </w:r>
      <w:r w:rsidR="004006FD" w:rsidRPr="00F64878">
        <w:rPr>
          <w:rFonts w:ascii="Arial" w:hAnsi="Arial" w:cs="Arial"/>
          <w:color w:val="010000"/>
          <w:sz w:val="20"/>
        </w:rPr>
        <w:t>Corporate Governance Report 2023</w:t>
      </w:r>
    </w:p>
    <w:p w14:paraId="159C5D01" w14:textId="37621F5A" w:rsidR="004006FD" w:rsidRPr="00F64878" w:rsidRDefault="004006FD" w:rsidP="00AA6C6F">
      <w:pP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8"/>
        </w:rPr>
      </w:pPr>
      <w:r w:rsidRPr="00F64878">
        <w:rPr>
          <w:rFonts w:ascii="Arial" w:hAnsi="Arial" w:cs="Arial"/>
          <w:color w:val="010000"/>
          <w:sz w:val="20"/>
        </w:rPr>
        <w:t xml:space="preserve">‎‎Article 2. Assign members of the Board of Directors and </w:t>
      </w:r>
      <w:r w:rsidR="00AA6C6F">
        <w:rPr>
          <w:rFonts w:ascii="Arial" w:hAnsi="Arial" w:cs="Arial"/>
          <w:color w:val="010000"/>
          <w:sz w:val="20"/>
        </w:rPr>
        <w:t>Executive Board</w:t>
      </w:r>
      <w:r w:rsidRPr="00F64878">
        <w:rPr>
          <w:rFonts w:ascii="Arial" w:hAnsi="Arial" w:cs="Arial"/>
          <w:color w:val="010000"/>
          <w:sz w:val="20"/>
        </w:rPr>
        <w:t xml:space="preserve"> to direct and organize the implementation of the contents of Article 1 of this Resolution.</w:t>
      </w:r>
    </w:p>
    <w:p w14:paraId="3687C5BE" w14:textId="4E8DCAB1" w:rsidR="004006FD" w:rsidRPr="00F64878" w:rsidRDefault="004006FD" w:rsidP="00AA6C6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64878">
        <w:rPr>
          <w:rFonts w:ascii="Arial" w:hAnsi="Arial" w:cs="Arial"/>
          <w:color w:val="010000"/>
          <w:sz w:val="20"/>
        </w:rPr>
        <w:t xml:space="preserve">‎‎Article 3. This </w:t>
      </w:r>
      <w:r w:rsidR="00AA6C6F">
        <w:rPr>
          <w:rFonts w:ascii="Arial" w:hAnsi="Arial" w:cs="Arial"/>
          <w:color w:val="010000"/>
          <w:sz w:val="20"/>
        </w:rPr>
        <w:t xml:space="preserve">Board </w:t>
      </w:r>
      <w:r w:rsidRPr="00F64878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AA6C6F">
        <w:rPr>
          <w:rFonts w:ascii="Arial" w:hAnsi="Arial" w:cs="Arial"/>
          <w:color w:val="010000"/>
          <w:sz w:val="20"/>
        </w:rPr>
        <w:t>bers of the Board of Directors and Executive Board</w:t>
      </w:r>
      <w:bookmarkStart w:id="0" w:name="_GoBack"/>
      <w:bookmarkEnd w:id="0"/>
      <w:r w:rsidRPr="00F64878">
        <w:rPr>
          <w:rFonts w:ascii="Arial" w:hAnsi="Arial" w:cs="Arial"/>
          <w:color w:val="010000"/>
          <w:sz w:val="20"/>
        </w:rPr>
        <w:t>, heads of departments, subsidiaries and related organizations and individuals are responsible for the implementation of this Resolution.</w:t>
      </w:r>
    </w:p>
    <w:sectPr w:rsidR="004006FD" w:rsidRPr="00F64878" w:rsidSect="00BF2FEF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3EFB" w14:textId="77777777" w:rsidR="00DF435A" w:rsidRDefault="00DF435A">
      <w:r>
        <w:separator/>
      </w:r>
    </w:p>
  </w:endnote>
  <w:endnote w:type="continuationSeparator" w:id="0">
    <w:p w14:paraId="76DE8F43" w14:textId="77777777" w:rsidR="00DF435A" w:rsidRDefault="00DF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5A30" w14:textId="77777777" w:rsidR="00DF435A" w:rsidRDefault="00DF435A"/>
  </w:footnote>
  <w:footnote w:type="continuationSeparator" w:id="0">
    <w:p w14:paraId="42D3E02A" w14:textId="77777777" w:rsidR="00DF435A" w:rsidRDefault="00DF4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CCF"/>
    <w:multiLevelType w:val="hybridMultilevel"/>
    <w:tmpl w:val="8C0C2C4A"/>
    <w:lvl w:ilvl="0" w:tplc="D49046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D6D8B1A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927AE5F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0C2B"/>
    <w:multiLevelType w:val="hybridMultilevel"/>
    <w:tmpl w:val="DB12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F"/>
    <w:rsid w:val="00162180"/>
    <w:rsid w:val="001C034C"/>
    <w:rsid w:val="00206EA9"/>
    <w:rsid w:val="004006FD"/>
    <w:rsid w:val="00952CEF"/>
    <w:rsid w:val="00A165C0"/>
    <w:rsid w:val="00A666DD"/>
    <w:rsid w:val="00AA6C6F"/>
    <w:rsid w:val="00BE7E3F"/>
    <w:rsid w:val="00BF2FEF"/>
    <w:rsid w:val="00CE0FB7"/>
    <w:rsid w:val="00DF435A"/>
    <w:rsid w:val="00F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4A680"/>
  <w15:docId w15:val="{D14D1385-2714-431F-9CC0-8582401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A6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2024-01-29T03:03:00Z</dcterms:created>
  <dcterms:modified xsi:type="dcterms:W3CDTF">2024-01-29T03:03:00Z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5dfa4ae29e4b19eada92a79516193559276acb57e7bed072d5ca99c674128333</vt:lpwstr>
  </property>
</Properties>
</file>