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207252" w14:textId="77777777" w:rsidR="005A2466" w:rsidRDefault="0085259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proofErr w:type="spellStart"/>
      <w:r>
        <w:rPr>
          <w:rFonts w:ascii="Arial" w:hAnsi="Arial"/>
          <w:b/>
          <w:color w:val="010000"/>
          <w:sz w:val="20"/>
        </w:rPr>
        <w:t>SDY</w:t>
      </w:r>
      <w:proofErr w:type="spellEnd"/>
      <w:r>
        <w:rPr>
          <w:rFonts w:ascii="Arial" w:hAnsi="Arial"/>
          <w:b/>
          <w:color w:val="010000"/>
          <w:sz w:val="20"/>
        </w:rPr>
        <w:t>: Annual Corporate Governance Report 2023</w:t>
      </w:r>
    </w:p>
    <w:p w14:paraId="4ECE7D71" w14:textId="057C427C" w:rsidR="005A2466" w:rsidRDefault="0085259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On January 18, 2024, Song Da </w:t>
      </w:r>
      <w:proofErr w:type="spellStart"/>
      <w:r>
        <w:rPr>
          <w:rFonts w:ascii="Arial" w:hAnsi="Arial"/>
          <w:color w:val="010000"/>
          <w:sz w:val="20"/>
        </w:rPr>
        <w:t>Yaly</w:t>
      </w:r>
      <w:proofErr w:type="spellEnd"/>
      <w:r>
        <w:rPr>
          <w:rFonts w:ascii="Arial" w:hAnsi="Arial"/>
          <w:color w:val="010000"/>
          <w:sz w:val="20"/>
        </w:rPr>
        <w:t xml:space="preserve"> Cement </w:t>
      </w:r>
      <w:proofErr w:type="spellStart"/>
      <w:r>
        <w:rPr>
          <w:rFonts w:ascii="Arial" w:hAnsi="Arial"/>
          <w:color w:val="010000"/>
          <w:sz w:val="20"/>
        </w:rPr>
        <w:t>JSC</w:t>
      </w:r>
      <w:proofErr w:type="spellEnd"/>
      <w:r>
        <w:rPr>
          <w:rFonts w:ascii="Arial" w:hAnsi="Arial"/>
          <w:color w:val="010000"/>
          <w:sz w:val="20"/>
        </w:rPr>
        <w:t xml:space="preserve"> announced Report No. 47/BC-</w:t>
      </w:r>
      <w:proofErr w:type="spellStart"/>
      <w:r>
        <w:rPr>
          <w:rFonts w:ascii="Arial" w:hAnsi="Arial"/>
          <w:color w:val="010000"/>
          <w:sz w:val="20"/>
        </w:rPr>
        <w:t>SDY</w:t>
      </w:r>
      <w:proofErr w:type="spellEnd"/>
      <w:r>
        <w:rPr>
          <w:rFonts w:ascii="Arial" w:hAnsi="Arial"/>
          <w:color w:val="010000"/>
          <w:sz w:val="20"/>
        </w:rPr>
        <w:t>-</w:t>
      </w:r>
      <w:proofErr w:type="spellStart"/>
      <w:r>
        <w:rPr>
          <w:rFonts w:ascii="Arial" w:hAnsi="Arial"/>
          <w:color w:val="010000"/>
          <w:sz w:val="20"/>
        </w:rPr>
        <w:t>HDQT</w:t>
      </w:r>
      <w:proofErr w:type="spellEnd"/>
      <w:r>
        <w:rPr>
          <w:rFonts w:ascii="Arial" w:hAnsi="Arial"/>
          <w:color w:val="010000"/>
          <w:sz w:val="20"/>
        </w:rPr>
        <w:t xml:space="preserve"> on the corporate governance of the Company in 2023 as follows:</w:t>
      </w:r>
    </w:p>
    <w:p w14:paraId="62AF4718" w14:textId="77777777" w:rsidR="005A2466" w:rsidRDefault="0085259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29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Name of company: Song Da </w:t>
      </w:r>
      <w:proofErr w:type="spellStart"/>
      <w:r>
        <w:rPr>
          <w:rFonts w:ascii="Arial" w:hAnsi="Arial"/>
          <w:color w:val="010000"/>
          <w:sz w:val="20"/>
        </w:rPr>
        <w:t>Yaly</w:t>
      </w:r>
      <w:proofErr w:type="spellEnd"/>
      <w:r>
        <w:rPr>
          <w:rFonts w:ascii="Arial" w:hAnsi="Arial"/>
          <w:color w:val="010000"/>
          <w:sz w:val="20"/>
        </w:rPr>
        <w:t xml:space="preserve"> Cement </w:t>
      </w:r>
      <w:proofErr w:type="spellStart"/>
      <w:r>
        <w:rPr>
          <w:rFonts w:ascii="Arial" w:hAnsi="Arial"/>
          <w:color w:val="010000"/>
          <w:sz w:val="20"/>
        </w:rPr>
        <w:t>JSC</w:t>
      </w:r>
      <w:proofErr w:type="spellEnd"/>
      <w:r>
        <w:rPr>
          <w:rFonts w:ascii="Arial" w:hAnsi="Arial"/>
          <w:color w:val="010000"/>
          <w:sz w:val="20"/>
        </w:rPr>
        <w:t>.</w:t>
      </w:r>
    </w:p>
    <w:p w14:paraId="794744E6" w14:textId="77777777" w:rsidR="005A2466" w:rsidRDefault="0085259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29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Head office address: Village 9, </w:t>
      </w:r>
      <w:proofErr w:type="spellStart"/>
      <w:r>
        <w:rPr>
          <w:rFonts w:ascii="Arial" w:hAnsi="Arial"/>
          <w:color w:val="010000"/>
          <w:sz w:val="20"/>
        </w:rPr>
        <w:t>Nghia</w:t>
      </w:r>
      <w:proofErr w:type="spellEnd"/>
      <w:r>
        <w:rPr>
          <w:rFonts w:ascii="Arial" w:hAnsi="Arial"/>
          <w:color w:val="010000"/>
          <w:sz w:val="20"/>
        </w:rPr>
        <w:t xml:space="preserve"> Hung </w:t>
      </w:r>
      <w:proofErr w:type="spellStart"/>
      <w:r>
        <w:rPr>
          <w:rFonts w:ascii="Arial" w:hAnsi="Arial"/>
          <w:color w:val="010000"/>
          <w:sz w:val="20"/>
        </w:rPr>
        <w:t>Commune,Chưpăh</w:t>
      </w:r>
      <w:proofErr w:type="spellEnd"/>
      <w:r>
        <w:rPr>
          <w:rFonts w:ascii="Arial" w:hAnsi="Arial"/>
          <w:color w:val="010000"/>
          <w:sz w:val="20"/>
        </w:rPr>
        <w:t xml:space="preserve"> District, </w:t>
      </w:r>
      <w:proofErr w:type="spellStart"/>
      <w:r>
        <w:rPr>
          <w:rFonts w:ascii="Arial" w:hAnsi="Arial"/>
          <w:color w:val="010000"/>
          <w:sz w:val="20"/>
        </w:rPr>
        <w:t>Gia</w:t>
      </w:r>
      <w:proofErr w:type="spellEnd"/>
      <w:r>
        <w:rPr>
          <w:rFonts w:ascii="Arial" w:hAnsi="Arial"/>
          <w:color w:val="010000"/>
          <w:sz w:val="20"/>
        </w:rPr>
        <w:t xml:space="preserve"> Lai Province</w:t>
      </w:r>
    </w:p>
    <w:p w14:paraId="3E2B1BF3" w14:textId="77777777" w:rsidR="005A2466" w:rsidRDefault="0085259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29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Tell: 0269.3845559</w:t>
      </w:r>
    </w:p>
    <w:p w14:paraId="16DBFE70" w14:textId="77777777" w:rsidR="005A2466" w:rsidRDefault="0085259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29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Charter capital: </w:t>
      </w:r>
      <w:proofErr w:type="spellStart"/>
      <w:r>
        <w:rPr>
          <w:rFonts w:ascii="Arial" w:hAnsi="Arial"/>
          <w:color w:val="010000"/>
          <w:sz w:val="20"/>
        </w:rPr>
        <w:t>VND</w:t>
      </w:r>
      <w:proofErr w:type="spellEnd"/>
      <w:r>
        <w:rPr>
          <w:rFonts w:ascii="Arial" w:hAnsi="Arial"/>
          <w:color w:val="010000"/>
          <w:sz w:val="20"/>
        </w:rPr>
        <w:t xml:space="preserve"> 45,000,000,000.</w:t>
      </w:r>
    </w:p>
    <w:p w14:paraId="10BCDB44" w14:textId="77777777" w:rsidR="005A2466" w:rsidRDefault="0085259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29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Securities code: </w:t>
      </w:r>
      <w:proofErr w:type="spellStart"/>
      <w:r>
        <w:rPr>
          <w:rFonts w:ascii="Arial" w:hAnsi="Arial"/>
          <w:color w:val="010000"/>
          <w:sz w:val="20"/>
        </w:rPr>
        <w:t>SDY</w:t>
      </w:r>
      <w:proofErr w:type="spellEnd"/>
    </w:p>
    <w:p w14:paraId="38348B9B" w14:textId="77777777" w:rsidR="005A2466" w:rsidRDefault="0085259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29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Corporate governance model:</w:t>
      </w:r>
    </w:p>
    <w:p w14:paraId="52DC9339" w14:textId="77777777" w:rsidR="005A2466" w:rsidRDefault="0085259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General Meeting of Shareholders, the Board of Directors, the S</w:t>
      </w:r>
      <w:r>
        <w:rPr>
          <w:rFonts w:ascii="Arial" w:hAnsi="Arial"/>
          <w:color w:val="010000"/>
          <w:sz w:val="20"/>
        </w:rPr>
        <w:t>upervisory Board, and the General Manager.</w:t>
      </w:r>
    </w:p>
    <w:p w14:paraId="7308CA58" w14:textId="77777777" w:rsidR="005A2466" w:rsidRDefault="0085259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30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Implementation of the internal audit function: Unimplemented.</w:t>
      </w:r>
    </w:p>
    <w:p w14:paraId="33478D9A" w14:textId="77777777" w:rsidR="005A2466" w:rsidRDefault="0085259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3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Activities of the General Meeting of Shareholders:</w:t>
      </w:r>
    </w:p>
    <w:p w14:paraId="5B101BB2" w14:textId="77777777" w:rsidR="005A2466" w:rsidRDefault="0085259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Information about meetings and General Mandates/Decisions of the General Meeting of Shareholders (including General Mandates approved by collecting opinions via a ballot)</w:t>
      </w:r>
    </w:p>
    <w:tbl>
      <w:tblPr>
        <w:tblStyle w:val="a"/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5"/>
        <w:gridCol w:w="2565"/>
        <w:gridCol w:w="2233"/>
        <w:gridCol w:w="3526"/>
      </w:tblGrid>
      <w:tr w:rsidR="005A2466" w14:paraId="124ACAF0" w14:textId="77777777">
        <w:tc>
          <w:tcPr>
            <w:tcW w:w="695" w:type="dxa"/>
            <w:shd w:val="clear" w:color="auto" w:fill="auto"/>
            <w:vAlign w:val="center"/>
          </w:tcPr>
          <w:p w14:paraId="140351D6" w14:textId="77777777" w:rsidR="005A2466" w:rsidRDefault="00852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5E672DDF" w14:textId="77777777" w:rsidR="005A2466" w:rsidRDefault="00852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General Mandate/Decision of the General Meeting of Shareholders No.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3757A784" w14:textId="77777777" w:rsidR="005A2466" w:rsidRDefault="00852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</w:t>
            </w:r>
          </w:p>
        </w:tc>
        <w:tc>
          <w:tcPr>
            <w:tcW w:w="3526" w:type="dxa"/>
            <w:shd w:val="clear" w:color="auto" w:fill="auto"/>
            <w:vAlign w:val="center"/>
          </w:tcPr>
          <w:p w14:paraId="38C2552F" w14:textId="77777777" w:rsidR="005A2466" w:rsidRDefault="00852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Contents</w:t>
            </w:r>
          </w:p>
        </w:tc>
      </w:tr>
      <w:tr w:rsidR="005A2466" w14:paraId="17BF693E" w14:textId="77777777">
        <w:tc>
          <w:tcPr>
            <w:tcW w:w="695" w:type="dxa"/>
            <w:shd w:val="clear" w:color="auto" w:fill="auto"/>
            <w:vAlign w:val="center"/>
          </w:tcPr>
          <w:p w14:paraId="5A580B03" w14:textId="77777777" w:rsidR="005A2466" w:rsidRDefault="00852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7EAB6A45" w14:textId="77777777" w:rsidR="005A2466" w:rsidRDefault="00852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03/23/NQ/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SDY-HDQT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>.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1118E6C2" w14:textId="77777777" w:rsidR="005A2466" w:rsidRDefault="00852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13, 2023</w:t>
            </w:r>
          </w:p>
        </w:tc>
        <w:tc>
          <w:tcPr>
            <w:tcW w:w="3526" w:type="dxa"/>
            <w:shd w:val="clear" w:color="auto" w:fill="auto"/>
            <w:vAlign w:val="center"/>
          </w:tcPr>
          <w:p w14:paraId="0359668A" w14:textId="77777777" w:rsidR="005A2466" w:rsidRDefault="00852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Board Resolution on approving the production and business results in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Q4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/2022 and the production and business plan for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Q1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>/2023</w:t>
            </w:r>
          </w:p>
        </w:tc>
      </w:tr>
      <w:tr w:rsidR="005A2466" w14:paraId="5DA0A161" w14:textId="77777777">
        <w:tc>
          <w:tcPr>
            <w:tcW w:w="695" w:type="dxa"/>
            <w:shd w:val="clear" w:color="auto" w:fill="auto"/>
            <w:vAlign w:val="center"/>
          </w:tcPr>
          <w:p w14:paraId="25353057" w14:textId="77777777" w:rsidR="005A2466" w:rsidRDefault="00852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048C31A8" w14:textId="77777777" w:rsidR="005A2466" w:rsidRDefault="00852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05/23/NQ/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SDY-HDQT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>.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1159A86A" w14:textId="77777777" w:rsidR="005A2466" w:rsidRDefault="00852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23, 2023</w:t>
            </w:r>
          </w:p>
        </w:tc>
        <w:tc>
          <w:tcPr>
            <w:tcW w:w="3526" w:type="dxa"/>
            <w:shd w:val="clear" w:color="auto" w:fill="auto"/>
            <w:vAlign w:val="center"/>
          </w:tcPr>
          <w:p w14:paraId="379EAEB2" w14:textId="77777777" w:rsidR="005A2466" w:rsidRDefault="00852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Decision on convening the Annual General Meeting of Shareholders 2023</w:t>
            </w:r>
          </w:p>
        </w:tc>
      </w:tr>
      <w:tr w:rsidR="005A2466" w14:paraId="03F30258" w14:textId="77777777">
        <w:tc>
          <w:tcPr>
            <w:tcW w:w="695" w:type="dxa"/>
            <w:shd w:val="clear" w:color="auto" w:fill="auto"/>
            <w:vAlign w:val="center"/>
          </w:tcPr>
          <w:p w14:paraId="765BE159" w14:textId="77777777" w:rsidR="005A2466" w:rsidRDefault="00852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3DE10EBD" w14:textId="77777777" w:rsidR="005A2466" w:rsidRDefault="00852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09/23/NQ/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SDY-HDQT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>.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7DFF48CA" w14:textId="77777777" w:rsidR="005A2466" w:rsidRDefault="00852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10, 2023</w:t>
            </w:r>
          </w:p>
        </w:tc>
        <w:tc>
          <w:tcPr>
            <w:tcW w:w="3526" w:type="dxa"/>
            <w:shd w:val="clear" w:color="auto" w:fill="auto"/>
            <w:vAlign w:val="center"/>
          </w:tcPr>
          <w:p w14:paraId="45986F4F" w14:textId="77777777" w:rsidR="005A2466" w:rsidRDefault="00852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Board Resolution on approving the production and business results in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Q1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/2023 and the production and business plan for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Q2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>/2023</w:t>
            </w:r>
          </w:p>
        </w:tc>
      </w:tr>
      <w:tr w:rsidR="005A2466" w14:paraId="67576555" w14:textId="77777777">
        <w:tc>
          <w:tcPr>
            <w:tcW w:w="695" w:type="dxa"/>
            <w:shd w:val="clear" w:color="auto" w:fill="auto"/>
            <w:vAlign w:val="center"/>
          </w:tcPr>
          <w:p w14:paraId="1CAD98E0" w14:textId="77777777" w:rsidR="005A2466" w:rsidRDefault="00852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4ACE97F9" w14:textId="77777777" w:rsidR="005A2466" w:rsidRDefault="00852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21/23/NQ/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SDY-HDQT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>.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72A91A0C" w14:textId="77777777" w:rsidR="005A2466" w:rsidRDefault="00852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18, 2023</w:t>
            </w:r>
          </w:p>
        </w:tc>
        <w:tc>
          <w:tcPr>
            <w:tcW w:w="3526" w:type="dxa"/>
            <w:shd w:val="clear" w:color="auto" w:fill="auto"/>
            <w:vAlign w:val="center"/>
          </w:tcPr>
          <w:p w14:paraId="5C594275" w14:textId="77777777" w:rsidR="005A2466" w:rsidRDefault="00852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Board Resolution: Candidates for members of the Board of Directors, the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Supervisroy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and Appoint Mr. Bui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Xuan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Hai - member of the Board of Directors to be the host of the Annual General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 xml:space="preserve">Meeting of Shareholders  </w:t>
            </w:r>
          </w:p>
        </w:tc>
      </w:tr>
      <w:tr w:rsidR="005A2466" w14:paraId="3CCC6F3F" w14:textId="77777777">
        <w:tc>
          <w:tcPr>
            <w:tcW w:w="695" w:type="dxa"/>
            <w:shd w:val="clear" w:color="auto" w:fill="auto"/>
            <w:vAlign w:val="center"/>
          </w:tcPr>
          <w:p w14:paraId="1ED75E20" w14:textId="77777777" w:rsidR="005A2466" w:rsidRDefault="00852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5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4742A8D9" w14:textId="77777777" w:rsidR="005A2466" w:rsidRDefault="00852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26/23/NQ</w:t>
            </w:r>
            <w:r>
              <w:rPr>
                <w:rFonts w:ascii="Arial" w:hAnsi="Arial"/>
                <w:color w:val="010000"/>
                <w:sz w:val="20"/>
              </w:rPr>
              <w:t>/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SDY-DHDCD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2023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635461A6" w14:textId="77777777" w:rsidR="005A2466" w:rsidRDefault="00852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20, 2023</w:t>
            </w:r>
          </w:p>
        </w:tc>
        <w:tc>
          <w:tcPr>
            <w:tcW w:w="3526" w:type="dxa"/>
            <w:shd w:val="clear" w:color="auto" w:fill="auto"/>
            <w:vAlign w:val="center"/>
          </w:tcPr>
          <w:p w14:paraId="37330ED2" w14:textId="77777777" w:rsidR="005A2466" w:rsidRDefault="00852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Annual General Mandate 2023</w:t>
            </w:r>
          </w:p>
        </w:tc>
      </w:tr>
      <w:tr w:rsidR="005A2466" w14:paraId="48716BAB" w14:textId="77777777">
        <w:tc>
          <w:tcPr>
            <w:tcW w:w="695" w:type="dxa"/>
            <w:shd w:val="clear" w:color="auto" w:fill="auto"/>
            <w:vAlign w:val="center"/>
          </w:tcPr>
          <w:p w14:paraId="09D49F61" w14:textId="77777777" w:rsidR="005A2466" w:rsidRDefault="00852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3CF2F766" w14:textId="77777777" w:rsidR="005A2466" w:rsidRDefault="00852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32/23/NQ/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SDY-HDQT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>.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5009CF82" w14:textId="77777777" w:rsidR="005A2466" w:rsidRDefault="00852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20, 2023</w:t>
            </w:r>
          </w:p>
        </w:tc>
        <w:tc>
          <w:tcPr>
            <w:tcW w:w="3526" w:type="dxa"/>
            <w:shd w:val="clear" w:color="auto" w:fill="auto"/>
            <w:vAlign w:val="center"/>
          </w:tcPr>
          <w:p w14:paraId="236A84B2" w14:textId="77777777" w:rsidR="005A2466" w:rsidRDefault="00852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Resolution on electing the Chair of the Board of Directors for the term 2023-2026 - Ms. Tran Thi Len</w:t>
            </w:r>
          </w:p>
        </w:tc>
      </w:tr>
      <w:tr w:rsidR="005A2466" w14:paraId="49F75AF4" w14:textId="77777777">
        <w:tc>
          <w:tcPr>
            <w:tcW w:w="695" w:type="dxa"/>
            <w:shd w:val="clear" w:color="auto" w:fill="auto"/>
            <w:vAlign w:val="center"/>
          </w:tcPr>
          <w:p w14:paraId="423C5224" w14:textId="77777777" w:rsidR="005A2466" w:rsidRDefault="00852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1F2812CF" w14:textId="77777777" w:rsidR="005A2466" w:rsidRDefault="00852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33/23/NQ/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SDY-HDQT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>.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5F665FF8" w14:textId="77777777" w:rsidR="005A2466" w:rsidRDefault="00852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20, 2023</w:t>
            </w:r>
          </w:p>
        </w:tc>
        <w:tc>
          <w:tcPr>
            <w:tcW w:w="3526" w:type="dxa"/>
            <w:shd w:val="clear" w:color="auto" w:fill="auto"/>
            <w:vAlign w:val="center"/>
          </w:tcPr>
          <w:p w14:paraId="757CA5F3" w14:textId="77777777" w:rsidR="005A2466" w:rsidRDefault="00852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Resolution on electing the Chief of the Supervisory Board for the term 2023-2028, Ms. Dang Thi Doan Trang</w:t>
            </w:r>
          </w:p>
        </w:tc>
      </w:tr>
      <w:tr w:rsidR="005A2466" w14:paraId="6C582587" w14:textId="77777777">
        <w:tc>
          <w:tcPr>
            <w:tcW w:w="695" w:type="dxa"/>
            <w:shd w:val="clear" w:color="auto" w:fill="auto"/>
            <w:vAlign w:val="center"/>
          </w:tcPr>
          <w:p w14:paraId="31693043" w14:textId="77777777" w:rsidR="005A2466" w:rsidRDefault="00852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2B6D4A37" w14:textId="77777777" w:rsidR="005A2466" w:rsidRDefault="00852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42/23/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QD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>/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SDY-HDQT</w:t>
            </w:r>
            <w:proofErr w:type="spellEnd"/>
          </w:p>
        </w:tc>
        <w:tc>
          <w:tcPr>
            <w:tcW w:w="2233" w:type="dxa"/>
            <w:shd w:val="clear" w:color="auto" w:fill="auto"/>
            <w:vAlign w:val="center"/>
          </w:tcPr>
          <w:p w14:paraId="1AC4EB96" w14:textId="77777777" w:rsidR="005A2466" w:rsidRDefault="00852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26, 2023</w:t>
            </w:r>
          </w:p>
        </w:tc>
        <w:tc>
          <w:tcPr>
            <w:tcW w:w="3526" w:type="dxa"/>
            <w:shd w:val="clear" w:color="auto" w:fill="auto"/>
            <w:vAlign w:val="center"/>
          </w:tcPr>
          <w:p w14:paraId="0F8E9789" w14:textId="77777777" w:rsidR="005A2466" w:rsidRDefault="00852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Board Decision on appointing Mr. Bui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Xuan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Hai to be the General Manager</w:t>
            </w:r>
          </w:p>
        </w:tc>
      </w:tr>
      <w:tr w:rsidR="005A2466" w14:paraId="370632A5" w14:textId="77777777">
        <w:tc>
          <w:tcPr>
            <w:tcW w:w="695" w:type="dxa"/>
            <w:shd w:val="clear" w:color="auto" w:fill="auto"/>
            <w:vAlign w:val="center"/>
          </w:tcPr>
          <w:p w14:paraId="0CA4A62E" w14:textId="77777777" w:rsidR="005A2466" w:rsidRDefault="00852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2387E930" w14:textId="77777777" w:rsidR="005A2466" w:rsidRDefault="00852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43/23/NQ/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SDY-HDQT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>.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30098BF0" w14:textId="77777777" w:rsidR="005A2466" w:rsidRDefault="00852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10, 2023</w:t>
            </w:r>
          </w:p>
        </w:tc>
        <w:tc>
          <w:tcPr>
            <w:tcW w:w="3526" w:type="dxa"/>
            <w:shd w:val="clear" w:color="auto" w:fill="auto"/>
            <w:vAlign w:val="center"/>
          </w:tcPr>
          <w:p w14:paraId="3126C2A6" w14:textId="65076E60" w:rsidR="005A2466" w:rsidRDefault="00852598" w:rsidP="00EB2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Resolution on approving the results of production and business activities in the first 6 months of 2023 and the production and business plan for the last 6 months of 2023.</w:t>
            </w:r>
          </w:p>
        </w:tc>
      </w:tr>
      <w:tr w:rsidR="005A2466" w14:paraId="0A8E2D22" w14:textId="77777777">
        <w:tc>
          <w:tcPr>
            <w:tcW w:w="695" w:type="dxa"/>
            <w:shd w:val="clear" w:color="auto" w:fill="auto"/>
            <w:vAlign w:val="center"/>
          </w:tcPr>
          <w:p w14:paraId="03D1C3B4" w14:textId="77777777" w:rsidR="005A2466" w:rsidRDefault="00852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214D891D" w14:textId="77777777" w:rsidR="005A2466" w:rsidRDefault="00852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44/23/NQ/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SDY-HDQT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>.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3691E445" w14:textId="77777777" w:rsidR="005A2466" w:rsidRDefault="00852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October 09, 2023</w:t>
            </w:r>
          </w:p>
        </w:tc>
        <w:tc>
          <w:tcPr>
            <w:tcW w:w="3526" w:type="dxa"/>
            <w:shd w:val="clear" w:color="auto" w:fill="auto"/>
            <w:vAlign w:val="center"/>
          </w:tcPr>
          <w:p w14:paraId="15EEF087" w14:textId="77777777" w:rsidR="005A2466" w:rsidRDefault="00852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Board Resolution on the production and business results in the first 09 months of 2023 and the production and business plan for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Q4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>/2023.</w:t>
            </w:r>
          </w:p>
        </w:tc>
      </w:tr>
      <w:tr w:rsidR="005A2466" w14:paraId="2AA2D90A" w14:textId="77777777">
        <w:tc>
          <w:tcPr>
            <w:tcW w:w="695" w:type="dxa"/>
            <w:shd w:val="clear" w:color="auto" w:fill="auto"/>
            <w:vAlign w:val="center"/>
          </w:tcPr>
          <w:p w14:paraId="0B662CC6" w14:textId="77777777" w:rsidR="005A2466" w:rsidRDefault="00852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69D05CFA" w14:textId="77777777" w:rsidR="005A2466" w:rsidRDefault="00852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45/23/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QĐ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>/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SDY-HDQT</w:t>
            </w:r>
            <w:proofErr w:type="spellEnd"/>
          </w:p>
        </w:tc>
        <w:tc>
          <w:tcPr>
            <w:tcW w:w="2233" w:type="dxa"/>
            <w:shd w:val="clear" w:color="auto" w:fill="auto"/>
            <w:vAlign w:val="center"/>
          </w:tcPr>
          <w:p w14:paraId="798BD3BC" w14:textId="77777777" w:rsidR="005A2466" w:rsidRDefault="00852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11, 2023</w:t>
            </w:r>
          </w:p>
        </w:tc>
        <w:tc>
          <w:tcPr>
            <w:tcW w:w="3526" w:type="dxa"/>
            <w:shd w:val="clear" w:color="auto" w:fill="auto"/>
            <w:vAlign w:val="center"/>
          </w:tcPr>
          <w:p w14:paraId="0446C93D" w14:textId="77777777" w:rsidR="005A2466" w:rsidRDefault="00852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Board Decision: Appoint Mr. Bui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Xuan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Hai to be the capital representative of th</w:t>
            </w:r>
            <w:r>
              <w:rPr>
                <w:rFonts w:ascii="Arial" w:hAnsi="Arial"/>
                <w:color w:val="010000"/>
                <w:sz w:val="20"/>
              </w:rPr>
              <w:t xml:space="preserve">e Company at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Công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ty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TNHH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MTV Xi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măng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Elecem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(tentatively translated as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Elecem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Cement Company Limited)</w:t>
            </w:r>
          </w:p>
        </w:tc>
      </w:tr>
    </w:tbl>
    <w:p w14:paraId="446D3118" w14:textId="77777777" w:rsidR="005A2466" w:rsidRDefault="0085259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Board of Directors (Report of 2023)</w:t>
      </w:r>
    </w:p>
    <w:p w14:paraId="2C01451B" w14:textId="77777777" w:rsidR="005A2466" w:rsidRDefault="008525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Information about members of the Board of Directors:</w:t>
      </w:r>
    </w:p>
    <w:tbl>
      <w:tblPr>
        <w:tblStyle w:val="a0"/>
        <w:tblW w:w="9019" w:type="dxa"/>
        <w:tblLayout w:type="fixed"/>
        <w:tblLook w:val="0400" w:firstRow="0" w:lastRow="0" w:firstColumn="0" w:lastColumn="0" w:noHBand="0" w:noVBand="1"/>
      </w:tblPr>
      <w:tblGrid>
        <w:gridCol w:w="421"/>
        <w:gridCol w:w="2267"/>
        <w:gridCol w:w="2410"/>
        <w:gridCol w:w="1986"/>
        <w:gridCol w:w="1935"/>
      </w:tblGrid>
      <w:tr w:rsidR="005A2466" w14:paraId="74F22777" w14:textId="77777777"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7C4D90D" w14:textId="77777777" w:rsidR="005A2466" w:rsidRDefault="00852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5C7A30F" w14:textId="77777777" w:rsidR="005A2466" w:rsidRDefault="00852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6C76066" w14:textId="77777777" w:rsidR="005A2466" w:rsidRDefault="00852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 (independent member, non-executive member of the Board of Directors)</w:t>
            </w:r>
          </w:p>
        </w:tc>
        <w:tc>
          <w:tcPr>
            <w:tcW w:w="39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9FCC1" w14:textId="77777777" w:rsidR="005A2466" w:rsidRDefault="00852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 dismissal as member/independent member of the Board of Directors</w:t>
            </w:r>
          </w:p>
        </w:tc>
      </w:tr>
      <w:tr w:rsidR="005A2466" w14:paraId="698288DD" w14:textId="77777777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8E0F8A5" w14:textId="77777777" w:rsidR="005A2466" w:rsidRDefault="005A2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9AF8186" w14:textId="77777777" w:rsidR="005A2466" w:rsidRDefault="005A2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D08B245" w14:textId="77777777" w:rsidR="005A2466" w:rsidRDefault="005A2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1ABCA91" w14:textId="77777777" w:rsidR="005A2466" w:rsidRDefault="00852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Appointment date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72425" w14:textId="77777777" w:rsidR="005A2466" w:rsidRDefault="00852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Dismissal date</w:t>
            </w:r>
          </w:p>
        </w:tc>
      </w:tr>
      <w:tr w:rsidR="005A2466" w14:paraId="5F5F8067" w14:textId="77777777">
        <w:tc>
          <w:tcPr>
            <w:tcW w:w="4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FC975ED" w14:textId="77777777" w:rsidR="005A2466" w:rsidRDefault="00852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EBDF7A9" w14:textId="77777777" w:rsidR="005A2466" w:rsidRDefault="00852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Pham Thi Thu Ha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8D3042E" w14:textId="77777777" w:rsidR="005A2466" w:rsidRDefault="00852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Chair of the Board of Directors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254473B" w14:textId="77777777" w:rsidR="005A2466" w:rsidRDefault="00852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01, 2019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D7933" w14:textId="77777777" w:rsidR="005A2466" w:rsidRDefault="00852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20, 2023</w:t>
            </w:r>
          </w:p>
        </w:tc>
      </w:tr>
      <w:tr w:rsidR="005A2466" w14:paraId="0D1EA2F9" w14:textId="77777777">
        <w:tc>
          <w:tcPr>
            <w:tcW w:w="4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DCDD851" w14:textId="77777777" w:rsidR="005A2466" w:rsidRDefault="00852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CF080A8" w14:textId="77777777" w:rsidR="005A2466" w:rsidRDefault="00852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Tran Thi Len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1846FCC" w14:textId="77777777" w:rsidR="005A2466" w:rsidRDefault="00852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Chair of the Board of Directors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0C19284" w14:textId="77777777" w:rsidR="005A2466" w:rsidRDefault="00852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20, 2023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EAEA4" w14:textId="77777777" w:rsidR="005A2466" w:rsidRDefault="005A2466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A2466" w14:paraId="23FEBCF9" w14:textId="77777777">
        <w:tc>
          <w:tcPr>
            <w:tcW w:w="4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B5ED251" w14:textId="77777777" w:rsidR="005A2466" w:rsidRDefault="00852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FB75F8B" w14:textId="77777777" w:rsidR="005A2466" w:rsidRDefault="00852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Bui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Xuan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Hai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8D9238D" w14:textId="77777777" w:rsidR="005A2466" w:rsidRDefault="00852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Member of the Board of Directors -cum- the Company’s General Manager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3599B6" w14:textId="77777777" w:rsidR="005A2466" w:rsidRDefault="00852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01, 2017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6AB83" w14:textId="77777777" w:rsidR="005A2466" w:rsidRDefault="005A2466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A2466" w14:paraId="1B46249A" w14:textId="77777777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46403" w14:textId="77777777" w:rsidR="005A2466" w:rsidRDefault="00852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DB2D7" w14:textId="77777777" w:rsidR="005A2466" w:rsidRDefault="00852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Vo Thi Ha Giang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29D5F" w14:textId="77777777" w:rsidR="005A2466" w:rsidRDefault="00852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Member of the Board of Directors 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C395A" w14:textId="77777777" w:rsidR="005A2466" w:rsidRDefault="00852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September 01, 2020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1047E" w14:textId="77777777" w:rsidR="005A2466" w:rsidRDefault="005A2466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6CF6DEB7" w14:textId="77777777" w:rsidR="005A2466" w:rsidRDefault="008525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Board Resolutions/Board Decisions (Report of 2023):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56"/>
        <w:gridCol w:w="3820"/>
        <w:gridCol w:w="1441"/>
        <w:gridCol w:w="2902"/>
      </w:tblGrid>
      <w:tr w:rsidR="00EB286A" w14:paraId="2624EB54" w14:textId="77777777" w:rsidTr="00EB286A">
        <w:tc>
          <w:tcPr>
            <w:tcW w:w="474" w:type="pct"/>
            <w:shd w:val="clear" w:color="auto" w:fill="auto"/>
            <w:vAlign w:val="center"/>
          </w:tcPr>
          <w:p w14:paraId="55CB0A37" w14:textId="77777777" w:rsidR="00EB286A" w:rsidRDefault="00EB2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118" w:type="pct"/>
            <w:shd w:val="clear" w:color="auto" w:fill="auto"/>
            <w:vAlign w:val="center"/>
          </w:tcPr>
          <w:p w14:paraId="6953C402" w14:textId="77777777" w:rsidR="00EB286A" w:rsidRDefault="00EB2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Resolution/Board Decision No.</w:t>
            </w:r>
          </w:p>
        </w:tc>
        <w:tc>
          <w:tcPr>
            <w:tcW w:w="799" w:type="pct"/>
            <w:shd w:val="clear" w:color="auto" w:fill="auto"/>
            <w:vAlign w:val="center"/>
          </w:tcPr>
          <w:p w14:paraId="4D936D5F" w14:textId="77777777" w:rsidR="00EB286A" w:rsidRDefault="00EB2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</w:t>
            </w:r>
          </w:p>
        </w:tc>
        <w:tc>
          <w:tcPr>
            <w:tcW w:w="1610" w:type="pct"/>
            <w:shd w:val="clear" w:color="auto" w:fill="auto"/>
            <w:vAlign w:val="center"/>
          </w:tcPr>
          <w:p w14:paraId="2BD7BDE3" w14:textId="77777777" w:rsidR="00EB286A" w:rsidRDefault="00EB2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Contents</w:t>
            </w:r>
          </w:p>
        </w:tc>
      </w:tr>
      <w:tr w:rsidR="00EB286A" w14:paraId="52A07102" w14:textId="77777777" w:rsidTr="00EB286A">
        <w:tc>
          <w:tcPr>
            <w:tcW w:w="474" w:type="pct"/>
            <w:shd w:val="clear" w:color="auto" w:fill="auto"/>
            <w:vAlign w:val="center"/>
          </w:tcPr>
          <w:p w14:paraId="7164BFB1" w14:textId="77777777" w:rsidR="00EB286A" w:rsidRDefault="00EB2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118" w:type="pct"/>
            <w:shd w:val="clear" w:color="auto" w:fill="auto"/>
            <w:vAlign w:val="center"/>
          </w:tcPr>
          <w:p w14:paraId="411AE2C3" w14:textId="77777777" w:rsidR="00EB286A" w:rsidRDefault="00EB2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03/23/NQ/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SDY-HDQT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>.</w:t>
            </w:r>
          </w:p>
        </w:tc>
        <w:tc>
          <w:tcPr>
            <w:tcW w:w="799" w:type="pct"/>
            <w:shd w:val="clear" w:color="auto" w:fill="auto"/>
            <w:vAlign w:val="center"/>
          </w:tcPr>
          <w:p w14:paraId="3F7A1740" w14:textId="77777777" w:rsidR="00EB286A" w:rsidRDefault="00EB2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13, 2023</w:t>
            </w:r>
          </w:p>
        </w:tc>
        <w:tc>
          <w:tcPr>
            <w:tcW w:w="1610" w:type="pct"/>
            <w:shd w:val="clear" w:color="auto" w:fill="auto"/>
            <w:vAlign w:val="center"/>
          </w:tcPr>
          <w:p w14:paraId="49DAC5DF" w14:textId="77777777" w:rsidR="00EB286A" w:rsidRDefault="00EB2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Board Resolution on approving the production and business results in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Q4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/2022 and the production and business plan for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Q1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>/2023</w:t>
            </w:r>
          </w:p>
        </w:tc>
      </w:tr>
      <w:tr w:rsidR="00EB286A" w14:paraId="53B9140E" w14:textId="77777777" w:rsidTr="00EB286A">
        <w:tc>
          <w:tcPr>
            <w:tcW w:w="474" w:type="pct"/>
            <w:shd w:val="clear" w:color="auto" w:fill="auto"/>
            <w:vAlign w:val="center"/>
          </w:tcPr>
          <w:p w14:paraId="701C2F38" w14:textId="77777777" w:rsidR="00EB286A" w:rsidRDefault="00EB2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2118" w:type="pct"/>
            <w:shd w:val="clear" w:color="auto" w:fill="auto"/>
            <w:vAlign w:val="center"/>
          </w:tcPr>
          <w:p w14:paraId="044C5ADA" w14:textId="77777777" w:rsidR="00EB286A" w:rsidRDefault="00EB2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09/23/NQ/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SDY-HDQT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>.</w:t>
            </w:r>
          </w:p>
        </w:tc>
        <w:tc>
          <w:tcPr>
            <w:tcW w:w="799" w:type="pct"/>
            <w:shd w:val="clear" w:color="auto" w:fill="auto"/>
            <w:vAlign w:val="center"/>
          </w:tcPr>
          <w:p w14:paraId="00461911" w14:textId="77777777" w:rsidR="00EB286A" w:rsidRDefault="00EB2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10, 2023</w:t>
            </w:r>
          </w:p>
        </w:tc>
        <w:tc>
          <w:tcPr>
            <w:tcW w:w="1610" w:type="pct"/>
            <w:shd w:val="clear" w:color="auto" w:fill="auto"/>
            <w:vAlign w:val="center"/>
          </w:tcPr>
          <w:p w14:paraId="1C3C59AD" w14:textId="77777777" w:rsidR="00EB286A" w:rsidRDefault="00EB2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Board Resolution on approving the production and business results in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Q1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/2023 and the production and business plan for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Q2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>/2023</w:t>
            </w:r>
          </w:p>
        </w:tc>
      </w:tr>
      <w:tr w:rsidR="00EB286A" w14:paraId="633735DB" w14:textId="77777777" w:rsidTr="00EB286A">
        <w:tc>
          <w:tcPr>
            <w:tcW w:w="474" w:type="pct"/>
            <w:shd w:val="clear" w:color="auto" w:fill="auto"/>
            <w:vAlign w:val="center"/>
          </w:tcPr>
          <w:p w14:paraId="7E433F9D" w14:textId="77777777" w:rsidR="00EB286A" w:rsidRDefault="00EB2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2118" w:type="pct"/>
            <w:shd w:val="clear" w:color="auto" w:fill="auto"/>
            <w:vAlign w:val="center"/>
          </w:tcPr>
          <w:p w14:paraId="74EC64C4" w14:textId="77777777" w:rsidR="00EB286A" w:rsidRDefault="00EB2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21/23/NQ/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SDY-HDQT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>.</w:t>
            </w:r>
          </w:p>
        </w:tc>
        <w:tc>
          <w:tcPr>
            <w:tcW w:w="799" w:type="pct"/>
            <w:shd w:val="clear" w:color="auto" w:fill="auto"/>
            <w:vAlign w:val="center"/>
          </w:tcPr>
          <w:p w14:paraId="2BE2A16D" w14:textId="77777777" w:rsidR="00EB286A" w:rsidRDefault="00EB2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18, 2023</w:t>
            </w:r>
          </w:p>
        </w:tc>
        <w:tc>
          <w:tcPr>
            <w:tcW w:w="1610" w:type="pct"/>
            <w:shd w:val="clear" w:color="auto" w:fill="auto"/>
            <w:vAlign w:val="center"/>
          </w:tcPr>
          <w:p w14:paraId="30578D91" w14:textId="77777777" w:rsidR="00EB286A" w:rsidRDefault="00EB2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Board Resolution: Candidates for members of the Board of Directors, the Supervisory and Appoint Mr. Bui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Xuan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Hai - member of the Board of Directors to be the host of the Annual General Meeting of Shareholders  </w:t>
            </w:r>
          </w:p>
        </w:tc>
      </w:tr>
      <w:tr w:rsidR="00EB286A" w14:paraId="78A7B5EF" w14:textId="77777777" w:rsidTr="00EB286A">
        <w:tc>
          <w:tcPr>
            <w:tcW w:w="474" w:type="pct"/>
            <w:shd w:val="clear" w:color="auto" w:fill="auto"/>
            <w:vAlign w:val="center"/>
          </w:tcPr>
          <w:p w14:paraId="581A063F" w14:textId="77777777" w:rsidR="00EB286A" w:rsidRDefault="00EB2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2118" w:type="pct"/>
            <w:shd w:val="clear" w:color="auto" w:fill="auto"/>
            <w:vAlign w:val="center"/>
          </w:tcPr>
          <w:p w14:paraId="796E8A1B" w14:textId="77777777" w:rsidR="00EB286A" w:rsidRDefault="00EB2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26/23/NQ/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SDY-DHDCD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2023</w:t>
            </w:r>
          </w:p>
        </w:tc>
        <w:tc>
          <w:tcPr>
            <w:tcW w:w="799" w:type="pct"/>
            <w:shd w:val="clear" w:color="auto" w:fill="auto"/>
            <w:vAlign w:val="center"/>
          </w:tcPr>
          <w:p w14:paraId="20B52B3E" w14:textId="77777777" w:rsidR="00EB286A" w:rsidRDefault="00EB2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20, 2023</w:t>
            </w:r>
          </w:p>
        </w:tc>
        <w:tc>
          <w:tcPr>
            <w:tcW w:w="1610" w:type="pct"/>
            <w:shd w:val="clear" w:color="auto" w:fill="auto"/>
            <w:vAlign w:val="center"/>
          </w:tcPr>
          <w:p w14:paraId="61489FB2" w14:textId="77777777" w:rsidR="00EB286A" w:rsidRDefault="00EB2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Annual General Mandate 2023</w:t>
            </w:r>
          </w:p>
        </w:tc>
      </w:tr>
      <w:tr w:rsidR="00EB286A" w14:paraId="633DD225" w14:textId="77777777" w:rsidTr="00EB286A">
        <w:tc>
          <w:tcPr>
            <w:tcW w:w="474" w:type="pct"/>
            <w:shd w:val="clear" w:color="auto" w:fill="auto"/>
            <w:vAlign w:val="center"/>
          </w:tcPr>
          <w:p w14:paraId="54FB93E6" w14:textId="77777777" w:rsidR="00EB286A" w:rsidRDefault="00EB2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2118" w:type="pct"/>
            <w:shd w:val="clear" w:color="auto" w:fill="auto"/>
            <w:vAlign w:val="center"/>
          </w:tcPr>
          <w:p w14:paraId="5265C4FB" w14:textId="77777777" w:rsidR="00EB286A" w:rsidRDefault="00EB2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32/23/NQ/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SDY-HDQT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>.</w:t>
            </w:r>
          </w:p>
        </w:tc>
        <w:tc>
          <w:tcPr>
            <w:tcW w:w="799" w:type="pct"/>
            <w:shd w:val="clear" w:color="auto" w:fill="auto"/>
            <w:vAlign w:val="center"/>
          </w:tcPr>
          <w:p w14:paraId="2542B6A3" w14:textId="77777777" w:rsidR="00EB286A" w:rsidRDefault="00EB2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20, 2023</w:t>
            </w:r>
          </w:p>
        </w:tc>
        <w:tc>
          <w:tcPr>
            <w:tcW w:w="1610" w:type="pct"/>
            <w:shd w:val="clear" w:color="auto" w:fill="auto"/>
            <w:vAlign w:val="center"/>
          </w:tcPr>
          <w:p w14:paraId="0B6562CF" w14:textId="77777777" w:rsidR="00EB286A" w:rsidRDefault="00EB2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Resolution on electing the Chair of the Board of Directors for the term 2023-2028, Ms. Tran Thi Len</w:t>
            </w:r>
          </w:p>
        </w:tc>
      </w:tr>
      <w:tr w:rsidR="00EB286A" w14:paraId="1F0E344C" w14:textId="77777777" w:rsidTr="00EB286A">
        <w:tc>
          <w:tcPr>
            <w:tcW w:w="474" w:type="pct"/>
            <w:shd w:val="clear" w:color="auto" w:fill="auto"/>
            <w:vAlign w:val="center"/>
          </w:tcPr>
          <w:p w14:paraId="55B3BECA" w14:textId="77777777" w:rsidR="00EB286A" w:rsidRDefault="00EB2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2118" w:type="pct"/>
            <w:shd w:val="clear" w:color="auto" w:fill="auto"/>
            <w:vAlign w:val="center"/>
          </w:tcPr>
          <w:p w14:paraId="6BAB340E" w14:textId="77777777" w:rsidR="00EB286A" w:rsidRDefault="00EB2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33/23/NQ/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SDY-HDQT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>.</w:t>
            </w:r>
          </w:p>
        </w:tc>
        <w:tc>
          <w:tcPr>
            <w:tcW w:w="799" w:type="pct"/>
            <w:shd w:val="clear" w:color="auto" w:fill="auto"/>
            <w:vAlign w:val="center"/>
          </w:tcPr>
          <w:p w14:paraId="21F8F3C6" w14:textId="77777777" w:rsidR="00EB286A" w:rsidRDefault="00EB2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20, 2023</w:t>
            </w:r>
          </w:p>
        </w:tc>
        <w:tc>
          <w:tcPr>
            <w:tcW w:w="1610" w:type="pct"/>
            <w:shd w:val="clear" w:color="auto" w:fill="auto"/>
            <w:vAlign w:val="center"/>
          </w:tcPr>
          <w:p w14:paraId="66ACC1FA" w14:textId="77777777" w:rsidR="00EB286A" w:rsidRDefault="00EB2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Resolution on electing the Chief of the Supervisory Board for the term 2023 - 2028, Ms. Dang Thi Doan Trang</w:t>
            </w:r>
          </w:p>
        </w:tc>
      </w:tr>
      <w:tr w:rsidR="00EB286A" w14:paraId="2805D1A3" w14:textId="77777777" w:rsidTr="00EB286A">
        <w:tc>
          <w:tcPr>
            <w:tcW w:w="474" w:type="pct"/>
            <w:shd w:val="clear" w:color="auto" w:fill="auto"/>
            <w:vAlign w:val="center"/>
          </w:tcPr>
          <w:p w14:paraId="7EF9063F" w14:textId="77777777" w:rsidR="00EB286A" w:rsidRDefault="00EB2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</w:t>
            </w:r>
          </w:p>
        </w:tc>
        <w:tc>
          <w:tcPr>
            <w:tcW w:w="2118" w:type="pct"/>
            <w:shd w:val="clear" w:color="auto" w:fill="auto"/>
            <w:vAlign w:val="center"/>
          </w:tcPr>
          <w:p w14:paraId="32719965" w14:textId="77777777" w:rsidR="00EB286A" w:rsidRDefault="00EB2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42/23/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QĐ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>/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SDY-HDQT</w:t>
            </w:r>
            <w:proofErr w:type="spellEnd"/>
          </w:p>
        </w:tc>
        <w:tc>
          <w:tcPr>
            <w:tcW w:w="799" w:type="pct"/>
            <w:shd w:val="clear" w:color="auto" w:fill="auto"/>
            <w:vAlign w:val="center"/>
          </w:tcPr>
          <w:p w14:paraId="4B1690EE" w14:textId="77777777" w:rsidR="00EB286A" w:rsidRDefault="00EB2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26, 2023</w:t>
            </w:r>
          </w:p>
        </w:tc>
        <w:tc>
          <w:tcPr>
            <w:tcW w:w="1610" w:type="pct"/>
            <w:shd w:val="clear" w:color="auto" w:fill="auto"/>
            <w:vAlign w:val="center"/>
          </w:tcPr>
          <w:p w14:paraId="3BC2E11D" w14:textId="77777777" w:rsidR="00EB286A" w:rsidRDefault="00EB2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Board Decision on appointing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 xml:space="preserve">Mr. Bui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Xuan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Hai to be the General Manager</w:t>
            </w:r>
          </w:p>
        </w:tc>
      </w:tr>
      <w:tr w:rsidR="00EB286A" w14:paraId="0CF99C96" w14:textId="77777777" w:rsidTr="00EB286A">
        <w:tc>
          <w:tcPr>
            <w:tcW w:w="474" w:type="pct"/>
            <w:shd w:val="clear" w:color="auto" w:fill="auto"/>
            <w:vAlign w:val="center"/>
          </w:tcPr>
          <w:p w14:paraId="02481BC8" w14:textId="77777777" w:rsidR="00EB286A" w:rsidRDefault="00EB2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8</w:t>
            </w:r>
          </w:p>
        </w:tc>
        <w:tc>
          <w:tcPr>
            <w:tcW w:w="2118" w:type="pct"/>
            <w:shd w:val="clear" w:color="auto" w:fill="auto"/>
            <w:vAlign w:val="center"/>
          </w:tcPr>
          <w:p w14:paraId="235E78A9" w14:textId="77777777" w:rsidR="00EB286A" w:rsidRDefault="00EB2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43/23/NQ/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SDY-HDQT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>.</w:t>
            </w:r>
          </w:p>
        </w:tc>
        <w:tc>
          <w:tcPr>
            <w:tcW w:w="799" w:type="pct"/>
            <w:shd w:val="clear" w:color="auto" w:fill="auto"/>
            <w:vAlign w:val="center"/>
          </w:tcPr>
          <w:p w14:paraId="7A47BD4A" w14:textId="77777777" w:rsidR="00EB286A" w:rsidRDefault="00EB2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10, 2023</w:t>
            </w:r>
          </w:p>
        </w:tc>
        <w:tc>
          <w:tcPr>
            <w:tcW w:w="1610" w:type="pct"/>
            <w:shd w:val="clear" w:color="auto" w:fill="auto"/>
            <w:vAlign w:val="center"/>
          </w:tcPr>
          <w:p w14:paraId="2D35C52F" w14:textId="77777777" w:rsidR="00EB286A" w:rsidRDefault="00EB2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Resolution on approving the results of production and business activities in the first 6 months of 2023 and the production and business plan for the last 6 months of 2023.</w:t>
            </w:r>
          </w:p>
        </w:tc>
      </w:tr>
      <w:tr w:rsidR="00EB286A" w14:paraId="0D1F66B9" w14:textId="77777777" w:rsidTr="00EB286A">
        <w:tc>
          <w:tcPr>
            <w:tcW w:w="474" w:type="pct"/>
            <w:shd w:val="clear" w:color="auto" w:fill="auto"/>
            <w:vAlign w:val="center"/>
          </w:tcPr>
          <w:p w14:paraId="5EF8E3B6" w14:textId="77777777" w:rsidR="00EB286A" w:rsidRDefault="00EB2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</w:t>
            </w:r>
          </w:p>
        </w:tc>
        <w:tc>
          <w:tcPr>
            <w:tcW w:w="2118" w:type="pct"/>
            <w:shd w:val="clear" w:color="auto" w:fill="auto"/>
            <w:vAlign w:val="center"/>
          </w:tcPr>
          <w:p w14:paraId="0D4496F3" w14:textId="77777777" w:rsidR="00EB286A" w:rsidRDefault="00EB2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44/23/NQ/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SDY-HDQT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>.</w:t>
            </w:r>
          </w:p>
        </w:tc>
        <w:tc>
          <w:tcPr>
            <w:tcW w:w="799" w:type="pct"/>
            <w:shd w:val="clear" w:color="auto" w:fill="auto"/>
            <w:vAlign w:val="center"/>
          </w:tcPr>
          <w:p w14:paraId="1B5FAAAB" w14:textId="77777777" w:rsidR="00EB286A" w:rsidRDefault="00EB2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October 09, 2023</w:t>
            </w:r>
          </w:p>
        </w:tc>
        <w:tc>
          <w:tcPr>
            <w:tcW w:w="1610" w:type="pct"/>
            <w:shd w:val="clear" w:color="auto" w:fill="auto"/>
            <w:vAlign w:val="center"/>
          </w:tcPr>
          <w:p w14:paraId="4023130D" w14:textId="77777777" w:rsidR="00EB286A" w:rsidRDefault="00EB2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Board Resolution on the production and business results in the first 09 months of 2023 and the production and business plan for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Q4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>/2023.</w:t>
            </w:r>
          </w:p>
        </w:tc>
      </w:tr>
      <w:tr w:rsidR="00EB286A" w14:paraId="2B31CC65" w14:textId="77777777" w:rsidTr="00EB286A">
        <w:tc>
          <w:tcPr>
            <w:tcW w:w="474" w:type="pct"/>
            <w:shd w:val="clear" w:color="auto" w:fill="auto"/>
            <w:vAlign w:val="center"/>
          </w:tcPr>
          <w:p w14:paraId="08B488B3" w14:textId="77777777" w:rsidR="00EB286A" w:rsidRDefault="00EB2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</w:t>
            </w:r>
          </w:p>
        </w:tc>
        <w:tc>
          <w:tcPr>
            <w:tcW w:w="2118" w:type="pct"/>
            <w:shd w:val="clear" w:color="auto" w:fill="auto"/>
            <w:vAlign w:val="center"/>
          </w:tcPr>
          <w:p w14:paraId="10ECE511" w14:textId="77777777" w:rsidR="00EB286A" w:rsidRDefault="00EB2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45/23/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QĐ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>/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SDY-HDQT</w:t>
            </w:r>
            <w:proofErr w:type="spellEnd"/>
          </w:p>
        </w:tc>
        <w:tc>
          <w:tcPr>
            <w:tcW w:w="799" w:type="pct"/>
            <w:shd w:val="clear" w:color="auto" w:fill="auto"/>
            <w:vAlign w:val="center"/>
          </w:tcPr>
          <w:p w14:paraId="6B1C6CD4" w14:textId="77777777" w:rsidR="00EB286A" w:rsidRDefault="00EB2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11, 2023</w:t>
            </w:r>
          </w:p>
        </w:tc>
        <w:tc>
          <w:tcPr>
            <w:tcW w:w="1610" w:type="pct"/>
            <w:shd w:val="clear" w:color="auto" w:fill="auto"/>
            <w:vAlign w:val="center"/>
          </w:tcPr>
          <w:p w14:paraId="3C87EEF0" w14:textId="77777777" w:rsidR="00EB286A" w:rsidRDefault="00EB2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Board Decisions: Appoint Mr. Bui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Xuan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Hai to be the capital representative of the Company at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Công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ty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TNHH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MTV Xi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măng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Elecem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(tentatively translated as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Elecem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Cement Company Limited)</w:t>
            </w:r>
          </w:p>
        </w:tc>
      </w:tr>
    </w:tbl>
    <w:p w14:paraId="307AFA1C" w14:textId="77777777" w:rsidR="005A2466" w:rsidRDefault="0085259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Supervisory Board/ Audit Committee (Report of 2023):</w:t>
      </w:r>
    </w:p>
    <w:p w14:paraId="78D9DF95" w14:textId="77777777" w:rsidR="005A2466" w:rsidRDefault="008525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2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Information on members of the Supervisory Board/the Audit Committee</w:t>
      </w:r>
    </w:p>
    <w:tbl>
      <w:tblPr>
        <w:tblStyle w:val="a2"/>
        <w:tblW w:w="9019" w:type="dxa"/>
        <w:tblLayout w:type="fixed"/>
        <w:tblLook w:val="0400" w:firstRow="0" w:lastRow="0" w:firstColumn="0" w:lastColumn="0" w:noHBand="0" w:noVBand="1"/>
      </w:tblPr>
      <w:tblGrid>
        <w:gridCol w:w="695"/>
        <w:gridCol w:w="1535"/>
        <w:gridCol w:w="1376"/>
        <w:gridCol w:w="2913"/>
        <w:gridCol w:w="2500"/>
      </w:tblGrid>
      <w:tr w:rsidR="005A2466" w14:paraId="585FC126" w14:textId="7777777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3480B" w14:textId="77777777" w:rsidR="005A2466" w:rsidRDefault="00852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FC402" w14:textId="77777777" w:rsidR="005A2466" w:rsidRDefault="00852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Supervisory Board/the Audit Committee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F5DC9" w14:textId="77777777" w:rsidR="005A2466" w:rsidRDefault="00852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DD8C9" w14:textId="77777777" w:rsidR="005A2466" w:rsidRDefault="00852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 as member of the Supervisory Board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27F05" w14:textId="77777777" w:rsidR="005A2466" w:rsidRDefault="00852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</w:tr>
      <w:tr w:rsidR="005A2466" w14:paraId="7F4FF4F1" w14:textId="7777777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1C2F1" w14:textId="77777777" w:rsidR="005A2466" w:rsidRDefault="00852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08638" w14:textId="77777777" w:rsidR="005A2466" w:rsidRDefault="00852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Tran Thi Len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A45DE" w14:textId="42775289" w:rsidR="005A2466" w:rsidRDefault="00852598" w:rsidP="00EB2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Chief of the Supervisory Board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714D0" w14:textId="77777777" w:rsidR="005A2466" w:rsidRDefault="00852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October 30, 2015 to April 20, 2023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64E20" w14:textId="77777777" w:rsidR="005A2466" w:rsidRDefault="00852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of Economics, Finance, and Banking</w:t>
            </w:r>
          </w:p>
        </w:tc>
      </w:tr>
      <w:tr w:rsidR="005A2466" w14:paraId="58ECC18E" w14:textId="7777777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4C128" w14:textId="77777777" w:rsidR="005A2466" w:rsidRDefault="00852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ABB28" w14:textId="2C1A774E" w:rsidR="005A2466" w:rsidRDefault="00852598" w:rsidP="00EB2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Dang Thi Doan Trang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0B985" w14:textId="60E3A5D5" w:rsidR="005A2466" w:rsidRDefault="00852598" w:rsidP="00EB2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Chief of the Supervisory Board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9D0CC" w14:textId="77777777" w:rsidR="005A2466" w:rsidRDefault="00852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20, 2023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C05C5" w14:textId="77777777" w:rsidR="005A2466" w:rsidRDefault="00852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of Economics and Finance</w:t>
            </w:r>
          </w:p>
          <w:p w14:paraId="0466057A" w14:textId="77777777" w:rsidR="005A2466" w:rsidRDefault="00852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Vietnam Technological and Commercial Joint- stock Bank</w:t>
            </w:r>
          </w:p>
        </w:tc>
      </w:tr>
      <w:tr w:rsidR="005A2466" w14:paraId="518882D8" w14:textId="7777777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A532F" w14:textId="77777777" w:rsidR="005A2466" w:rsidRDefault="00852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99D2C" w14:textId="609CB790" w:rsidR="005A2466" w:rsidRDefault="00852598" w:rsidP="00EB2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Nguyen Le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Trung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Phi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F63E5" w14:textId="77777777" w:rsidR="005A2466" w:rsidRDefault="00852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Member of the Supervisory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 xml:space="preserve">Board 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829E7" w14:textId="77777777" w:rsidR="005A2466" w:rsidRDefault="00852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June 01, 2018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C3F63" w14:textId="77777777" w:rsidR="005A2466" w:rsidRDefault="00852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of Business Administration</w:t>
            </w:r>
          </w:p>
        </w:tc>
      </w:tr>
      <w:tr w:rsidR="005A2466" w14:paraId="0C79475C" w14:textId="7777777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0760D" w14:textId="77777777" w:rsidR="005A2466" w:rsidRDefault="00852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4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DCBE7" w14:textId="77777777" w:rsidR="005A2466" w:rsidRDefault="00852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Mai Ngoc Lien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44E70" w14:textId="77777777" w:rsidR="005A2466" w:rsidRDefault="00852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Member of the Supervisory Board 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1D95C" w14:textId="77777777" w:rsidR="005A2466" w:rsidRDefault="00852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01, 2019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C5A83" w14:textId="77777777" w:rsidR="005A2466" w:rsidRDefault="00852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of Accounting</w:t>
            </w:r>
          </w:p>
        </w:tc>
      </w:tr>
    </w:tbl>
    <w:p w14:paraId="23B339F7" w14:textId="77777777" w:rsidR="005A2466" w:rsidRDefault="0085259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Executive Board:</w:t>
      </w:r>
    </w:p>
    <w:tbl>
      <w:tblPr>
        <w:tblStyle w:val="a3"/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7"/>
        <w:gridCol w:w="2475"/>
        <w:gridCol w:w="1627"/>
        <w:gridCol w:w="2143"/>
        <w:gridCol w:w="1977"/>
      </w:tblGrid>
      <w:tr w:rsidR="005A2466" w14:paraId="082A50FB" w14:textId="77777777">
        <w:tc>
          <w:tcPr>
            <w:tcW w:w="797" w:type="dxa"/>
            <w:shd w:val="clear" w:color="auto" w:fill="auto"/>
            <w:vAlign w:val="center"/>
          </w:tcPr>
          <w:p w14:paraId="2DC36C48" w14:textId="77777777" w:rsidR="005A2466" w:rsidRDefault="00852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475" w:type="dxa"/>
            <w:shd w:val="clear" w:color="auto" w:fill="auto"/>
            <w:vAlign w:val="center"/>
          </w:tcPr>
          <w:p w14:paraId="3D1DDECC" w14:textId="77777777" w:rsidR="005A2466" w:rsidRDefault="00852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Executive Board</w:t>
            </w:r>
          </w:p>
        </w:tc>
        <w:tc>
          <w:tcPr>
            <w:tcW w:w="1627" w:type="dxa"/>
            <w:shd w:val="clear" w:color="auto" w:fill="auto"/>
            <w:vAlign w:val="center"/>
          </w:tcPr>
          <w:p w14:paraId="3DF90D61" w14:textId="77777777" w:rsidR="005A2466" w:rsidRDefault="00852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birth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168310D7" w14:textId="77777777" w:rsidR="005A2466" w:rsidRDefault="00852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3D29D056" w14:textId="77777777" w:rsidR="005A2466" w:rsidRDefault="00852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Appointment date</w:t>
            </w:r>
          </w:p>
        </w:tc>
      </w:tr>
      <w:tr w:rsidR="005A2466" w14:paraId="1EB5A755" w14:textId="77777777">
        <w:tc>
          <w:tcPr>
            <w:tcW w:w="797" w:type="dxa"/>
            <w:shd w:val="clear" w:color="auto" w:fill="auto"/>
            <w:vAlign w:val="center"/>
          </w:tcPr>
          <w:p w14:paraId="5A716993" w14:textId="77777777" w:rsidR="005A2466" w:rsidRDefault="00852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475" w:type="dxa"/>
            <w:shd w:val="clear" w:color="auto" w:fill="auto"/>
            <w:vAlign w:val="center"/>
          </w:tcPr>
          <w:p w14:paraId="4BEC15AD" w14:textId="77777777" w:rsidR="005A2466" w:rsidRDefault="00852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Bui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Xuan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Hai</w:t>
            </w:r>
          </w:p>
        </w:tc>
        <w:tc>
          <w:tcPr>
            <w:tcW w:w="1627" w:type="dxa"/>
            <w:shd w:val="clear" w:color="auto" w:fill="auto"/>
            <w:vAlign w:val="center"/>
          </w:tcPr>
          <w:p w14:paraId="3B086F8E" w14:textId="77777777" w:rsidR="005A2466" w:rsidRDefault="00852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30, 1963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4DAC6F08" w14:textId="77777777" w:rsidR="005A2466" w:rsidRDefault="00852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Electronic Engineer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6B2C5494" w14:textId="77777777" w:rsidR="005A2466" w:rsidRDefault="00852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01, 2017</w:t>
            </w:r>
          </w:p>
        </w:tc>
      </w:tr>
    </w:tbl>
    <w:p w14:paraId="39E11B35" w14:textId="77777777" w:rsidR="005A2466" w:rsidRDefault="0085259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Chief Accountant</w:t>
      </w:r>
    </w:p>
    <w:tbl>
      <w:tblPr>
        <w:tblStyle w:val="a4"/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56"/>
        <w:gridCol w:w="1955"/>
        <w:gridCol w:w="2459"/>
        <w:gridCol w:w="2749"/>
      </w:tblGrid>
      <w:tr w:rsidR="005A2466" w14:paraId="64E69670" w14:textId="77777777">
        <w:tc>
          <w:tcPr>
            <w:tcW w:w="1856" w:type="dxa"/>
            <w:shd w:val="clear" w:color="auto" w:fill="auto"/>
            <w:vAlign w:val="center"/>
          </w:tcPr>
          <w:p w14:paraId="0BDD83FE" w14:textId="77777777" w:rsidR="005A2466" w:rsidRDefault="00852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Full name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4C1D628B" w14:textId="77777777" w:rsidR="005A2466" w:rsidRDefault="00852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birth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1E5A3BF9" w14:textId="77777777" w:rsidR="005A2466" w:rsidRDefault="00852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06BB9242" w14:textId="77777777" w:rsidR="005A2466" w:rsidRDefault="00852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Appointment date</w:t>
            </w:r>
          </w:p>
        </w:tc>
      </w:tr>
      <w:tr w:rsidR="005A2466" w14:paraId="201D05EF" w14:textId="77777777">
        <w:tc>
          <w:tcPr>
            <w:tcW w:w="1856" w:type="dxa"/>
            <w:shd w:val="clear" w:color="auto" w:fill="auto"/>
            <w:vAlign w:val="center"/>
          </w:tcPr>
          <w:p w14:paraId="7D2623D2" w14:textId="77777777" w:rsidR="005A2466" w:rsidRDefault="00852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Mai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Trung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Kien</w:t>
            </w:r>
            <w:proofErr w:type="spellEnd"/>
          </w:p>
        </w:tc>
        <w:tc>
          <w:tcPr>
            <w:tcW w:w="1955" w:type="dxa"/>
            <w:shd w:val="clear" w:color="auto" w:fill="auto"/>
            <w:vAlign w:val="center"/>
          </w:tcPr>
          <w:p w14:paraId="3B392706" w14:textId="77777777" w:rsidR="005A2466" w:rsidRDefault="00852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11, 1983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1A9AF536" w14:textId="77777777" w:rsidR="005A2466" w:rsidRDefault="00852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College Degree of Accounting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45BDDEE6" w14:textId="77777777" w:rsidR="005A2466" w:rsidRDefault="00852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November 01, 2019</w:t>
            </w:r>
          </w:p>
        </w:tc>
      </w:tr>
    </w:tbl>
    <w:p w14:paraId="14795647" w14:textId="77777777" w:rsidR="005A2466" w:rsidRDefault="0085259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Training on corporate governance:</w:t>
      </w:r>
    </w:p>
    <w:p w14:paraId="0DEF9AF7" w14:textId="77777777" w:rsidR="005A2466" w:rsidRDefault="0085259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List of affiliated persons of the public company (report of 2023) and transactions between the affiliated persons of the Company with the Company itself</w:t>
      </w:r>
    </w:p>
    <w:p w14:paraId="3C18BFE9" w14:textId="77777777" w:rsidR="005A2466" w:rsidRDefault="0085259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4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Transactions between the Company and affiliated persons of the Compan</w:t>
      </w:r>
      <w:r>
        <w:rPr>
          <w:rFonts w:ascii="Arial" w:hAnsi="Arial"/>
          <w:color w:val="010000"/>
          <w:sz w:val="20"/>
        </w:rPr>
        <w:t xml:space="preserve">y; or between the Company and major shareholders, </w:t>
      </w:r>
      <w:proofErr w:type="spellStart"/>
      <w:r>
        <w:rPr>
          <w:rFonts w:ascii="Arial" w:hAnsi="Arial"/>
          <w:color w:val="010000"/>
          <w:sz w:val="20"/>
        </w:rPr>
        <w:t>PDMR</w:t>
      </w:r>
      <w:proofErr w:type="spellEnd"/>
      <w:r>
        <w:rPr>
          <w:rFonts w:ascii="Arial" w:hAnsi="Arial"/>
          <w:color w:val="010000"/>
          <w:sz w:val="20"/>
        </w:rPr>
        <w:t xml:space="preserve">, or affiliated persons of </w:t>
      </w:r>
      <w:proofErr w:type="spellStart"/>
      <w:r>
        <w:rPr>
          <w:rFonts w:ascii="Arial" w:hAnsi="Arial"/>
          <w:color w:val="010000"/>
          <w:sz w:val="20"/>
        </w:rPr>
        <w:t>PDMR</w:t>
      </w:r>
      <w:proofErr w:type="spellEnd"/>
      <w:r>
        <w:rPr>
          <w:rFonts w:ascii="Arial" w:hAnsi="Arial"/>
          <w:color w:val="010000"/>
          <w:sz w:val="20"/>
        </w:rPr>
        <w:t>: None.</w:t>
      </w:r>
    </w:p>
    <w:p w14:paraId="1C8720BE" w14:textId="77777777" w:rsidR="005A2466" w:rsidRDefault="008525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5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Transactions between the Company’s </w:t>
      </w:r>
      <w:proofErr w:type="spellStart"/>
      <w:r>
        <w:rPr>
          <w:rFonts w:ascii="Arial" w:hAnsi="Arial"/>
          <w:color w:val="010000"/>
          <w:sz w:val="20"/>
        </w:rPr>
        <w:t>PDMR</w:t>
      </w:r>
      <w:proofErr w:type="spellEnd"/>
      <w:r>
        <w:rPr>
          <w:rFonts w:ascii="Arial" w:hAnsi="Arial"/>
          <w:color w:val="010000"/>
          <w:sz w:val="20"/>
        </w:rPr>
        <w:t xml:space="preserve">, affiliated persons of </w:t>
      </w:r>
      <w:proofErr w:type="spellStart"/>
      <w:r>
        <w:rPr>
          <w:rFonts w:ascii="Arial" w:hAnsi="Arial"/>
          <w:color w:val="010000"/>
          <w:sz w:val="20"/>
        </w:rPr>
        <w:t>PDMR</w:t>
      </w:r>
      <w:proofErr w:type="spellEnd"/>
      <w:r>
        <w:rPr>
          <w:rFonts w:ascii="Arial" w:hAnsi="Arial"/>
          <w:color w:val="010000"/>
          <w:sz w:val="20"/>
        </w:rPr>
        <w:t xml:space="preserve"> and subsidiaries, companies controlled by the Company: None.</w:t>
      </w:r>
    </w:p>
    <w:p w14:paraId="06FFDD5D" w14:textId="77777777" w:rsidR="005A2466" w:rsidRDefault="008525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5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Transactions between the Company and other entities:</w:t>
      </w:r>
    </w:p>
    <w:p w14:paraId="20DBDF13" w14:textId="77777777" w:rsidR="005A2466" w:rsidRDefault="0085259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1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Transactions between the Company and the companies where members of the Board of Directors, members of the Supervisory Board, the Manager (General Manager) and other managers have been founding members o</w:t>
      </w:r>
      <w:r>
        <w:rPr>
          <w:rFonts w:ascii="Arial" w:hAnsi="Arial"/>
          <w:color w:val="010000"/>
          <w:sz w:val="20"/>
        </w:rPr>
        <w:t>r members of the Board of Directors, the Executive Manager (General Manager) for the past three (03) years (as at the time of reporting):</w:t>
      </w:r>
    </w:p>
    <w:tbl>
      <w:tblPr>
        <w:tblStyle w:val="a5"/>
        <w:tblW w:w="902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018"/>
        <w:gridCol w:w="2221"/>
        <w:gridCol w:w="852"/>
        <w:gridCol w:w="1938"/>
      </w:tblGrid>
      <w:tr w:rsidR="005A2466" w14:paraId="65CF0D38" w14:textId="77777777">
        <w:tc>
          <w:tcPr>
            <w:tcW w:w="4018" w:type="dxa"/>
            <w:tcBorders>
              <w:bottom w:val="single" w:sz="4" w:space="0" w:color="000000"/>
            </w:tcBorders>
          </w:tcPr>
          <w:p w14:paraId="2E09AEC6" w14:textId="77777777" w:rsidR="005A2466" w:rsidRDefault="00852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1219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Other affiliated parties </w:t>
            </w:r>
          </w:p>
        </w:tc>
        <w:tc>
          <w:tcPr>
            <w:tcW w:w="5011" w:type="dxa"/>
            <w:gridSpan w:val="3"/>
            <w:tcBorders>
              <w:bottom w:val="single" w:sz="4" w:space="0" w:color="000000"/>
            </w:tcBorders>
          </w:tcPr>
          <w:p w14:paraId="4482B7B9" w14:textId="77777777" w:rsidR="005A2466" w:rsidRDefault="00852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1219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Relationship</w:t>
            </w:r>
          </w:p>
        </w:tc>
      </w:tr>
      <w:tr w:rsidR="005A2466" w14:paraId="15CE6F9B" w14:textId="77777777">
        <w:tc>
          <w:tcPr>
            <w:tcW w:w="4018" w:type="dxa"/>
            <w:tcBorders>
              <w:top w:val="single" w:sz="4" w:space="0" w:color="000000"/>
            </w:tcBorders>
          </w:tcPr>
          <w:p w14:paraId="533B1574" w14:textId="77777777" w:rsidR="005A2466" w:rsidRDefault="00852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1219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10000"/>
                <w:sz w:val="20"/>
              </w:rPr>
              <w:t>Icapital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Investment Joint Stock Company.</w:t>
            </w:r>
          </w:p>
        </w:tc>
        <w:tc>
          <w:tcPr>
            <w:tcW w:w="5011" w:type="dxa"/>
            <w:gridSpan w:val="3"/>
            <w:tcBorders>
              <w:top w:val="single" w:sz="4" w:space="0" w:color="000000"/>
            </w:tcBorders>
          </w:tcPr>
          <w:p w14:paraId="1CB2E380" w14:textId="77777777" w:rsidR="005A2466" w:rsidRDefault="00852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1219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The company with the same key managers</w:t>
            </w:r>
          </w:p>
        </w:tc>
      </w:tr>
      <w:tr w:rsidR="005A2466" w14:paraId="6ACCE5B7" w14:textId="77777777">
        <w:tc>
          <w:tcPr>
            <w:tcW w:w="4018" w:type="dxa"/>
          </w:tcPr>
          <w:p w14:paraId="2B9C5970" w14:textId="77777777" w:rsidR="005A2466" w:rsidRDefault="005A2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1219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011" w:type="dxa"/>
            <w:gridSpan w:val="3"/>
          </w:tcPr>
          <w:p w14:paraId="281FE625" w14:textId="77777777" w:rsidR="005A2466" w:rsidRDefault="00852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1219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Accumulated from the beginning of the year to the end of this quarter</w:t>
            </w:r>
          </w:p>
        </w:tc>
      </w:tr>
      <w:tr w:rsidR="005A2466" w14:paraId="35B110CD" w14:textId="77777777">
        <w:tc>
          <w:tcPr>
            <w:tcW w:w="4018" w:type="dxa"/>
          </w:tcPr>
          <w:p w14:paraId="51959A3C" w14:textId="77777777" w:rsidR="005A2466" w:rsidRDefault="00852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1219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10000"/>
                <w:sz w:val="20"/>
              </w:rPr>
              <w:t>Icapital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Investment Joint Stock Company.</w:t>
            </w:r>
          </w:p>
        </w:tc>
        <w:tc>
          <w:tcPr>
            <w:tcW w:w="2221" w:type="dxa"/>
            <w:tcBorders>
              <w:bottom w:val="single" w:sz="4" w:space="0" w:color="000000"/>
            </w:tcBorders>
          </w:tcPr>
          <w:p w14:paraId="734ADA44" w14:textId="77777777" w:rsidR="005A2466" w:rsidRDefault="00852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1219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2023</w:t>
            </w:r>
          </w:p>
        </w:tc>
        <w:tc>
          <w:tcPr>
            <w:tcW w:w="852" w:type="dxa"/>
          </w:tcPr>
          <w:p w14:paraId="19A4672E" w14:textId="77777777" w:rsidR="005A2466" w:rsidRDefault="005A2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1219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38" w:type="dxa"/>
            <w:tcBorders>
              <w:bottom w:val="single" w:sz="4" w:space="0" w:color="000000"/>
            </w:tcBorders>
          </w:tcPr>
          <w:p w14:paraId="53170895" w14:textId="77777777" w:rsidR="005A2466" w:rsidRDefault="00852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1219"/>
              </w:tabs>
              <w:spacing w:after="120" w:line="360" w:lineRule="auto"/>
              <w:ind w:firstLine="400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2022</w:t>
            </w:r>
          </w:p>
        </w:tc>
      </w:tr>
      <w:tr w:rsidR="005A2466" w14:paraId="016F630F" w14:textId="77777777">
        <w:tc>
          <w:tcPr>
            <w:tcW w:w="4018" w:type="dxa"/>
          </w:tcPr>
          <w:p w14:paraId="64DE45B0" w14:textId="77777777" w:rsidR="005A2466" w:rsidRDefault="00852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1219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Payments for principal debts</w:t>
            </w:r>
          </w:p>
        </w:tc>
        <w:tc>
          <w:tcPr>
            <w:tcW w:w="2221" w:type="dxa"/>
            <w:tcBorders>
              <w:top w:val="single" w:sz="4" w:space="0" w:color="000000"/>
            </w:tcBorders>
          </w:tcPr>
          <w:p w14:paraId="3E245A23" w14:textId="77777777" w:rsidR="005A2466" w:rsidRDefault="00852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1219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700,000,000</w:t>
            </w:r>
          </w:p>
        </w:tc>
        <w:tc>
          <w:tcPr>
            <w:tcW w:w="852" w:type="dxa"/>
          </w:tcPr>
          <w:p w14:paraId="13A2CB75" w14:textId="77777777" w:rsidR="005A2466" w:rsidRDefault="005A2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1219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000000"/>
            </w:tcBorders>
          </w:tcPr>
          <w:p w14:paraId="6763F9B4" w14:textId="77777777" w:rsidR="005A2466" w:rsidRDefault="00852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1219"/>
              </w:tabs>
              <w:spacing w:after="120" w:line="360" w:lineRule="auto"/>
              <w:ind w:firstLine="400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1,200,000,000</w:t>
            </w:r>
          </w:p>
        </w:tc>
      </w:tr>
      <w:tr w:rsidR="005A2466" w14:paraId="5BBFC669" w14:textId="77777777">
        <w:tc>
          <w:tcPr>
            <w:tcW w:w="4018" w:type="dxa"/>
          </w:tcPr>
          <w:p w14:paraId="2937E2CF" w14:textId="77777777" w:rsidR="005A2466" w:rsidRDefault="00852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1219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Pay loan interest</w:t>
            </w:r>
          </w:p>
        </w:tc>
        <w:tc>
          <w:tcPr>
            <w:tcW w:w="2221" w:type="dxa"/>
          </w:tcPr>
          <w:p w14:paraId="6004E70E" w14:textId="77777777" w:rsidR="005A2466" w:rsidRDefault="00852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1219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300,000,000</w:t>
            </w:r>
          </w:p>
        </w:tc>
        <w:tc>
          <w:tcPr>
            <w:tcW w:w="852" w:type="dxa"/>
          </w:tcPr>
          <w:p w14:paraId="3720F0D8" w14:textId="77777777" w:rsidR="005A2466" w:rsidRDefault="005A2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1219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38" w:type="dxa"/>
          </w:tcPr>
          <w:p w14:paraId="05C46E15" w14:textId="77777777" w:rsidR="005A2466" w:rsidRDefault="00852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1219"/>
              </w:tabs>
              <w:spacing w:after="120" w:line="360" w:lineRule="auto"/>
              <w:ind w:firstLine="400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1,300,000,000</w:t>
            </w:r>
          </w:p>
        </w:tc>
      </w:tr>
      <w:tr w:rsidR="005A2466" w14:paraId="7B0A33ED" w14:textId="77777777">
        <w:tc>
          <w:tcPr>
            <w:tcW w:w="4018" w:type="dxa"/>
          </w:tcPr>
          <w:p w14:paraId="672B9F7B" w14:textId="77777777" w:rsidR="005A2466" w:rsidRDefault="00852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1219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Interest incurred</w:t>
            </w:r>
          </w:p>
        </w:tc>
        <w:tc>
          <w:tcPr>
            <w:tcW w:w="2221" w:type="dxa"/>
          </w:tcPr>
          <w:p w14:paraId="0F921CC2" w14:textId="77777777" w:rsidR="005A2466" w:rsidRDefault="00852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1219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237,625,000</w:t>
            </w:r>
          </w:p>
        </w:tc>
        <w:tc>
          <w:tcPr>
            <w:tcW w:w="852" w:type="dxa"/>
          </w:tcPr>
          <w:p w14:paraId="7366079B" w14:textId="77777777" w:rsidR="005A2466" w:rsidRDefault="005A2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1219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38" w:type="dxa"/>
          </w:tcPr>
          <w:p w14:paraId="2C3EA9F0" w14:textId="77777777" w:rsidR="005A2466" w:rsidRDefault="00852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1219"/>
              </w:tabs>
              <w:spacing w:after="120" w:line="360" w:lineRule="auto"/>
              <w:ind w:firstLine="400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336,450,000</w:t>
            </w:r>
          </w:p>
        </w:tc>
      </w:tr>
    </w:tbl>
    <w:p w14:paraId="5176FFD6" w14:textId="77777777" w:rsidR="005A2466" w:rsidRDefault="0085259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1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Transactions between the Company and the companies where the affiliated persons of members </w:t>
      </w:r>
      <w:r>
        <w:rPr>
          <w:rFonts w:ascii="Arial" w:hAnsi="Arial"/>
          <w:color w:val="010000"/>
          <w:sz w:val="20"/>
        </w:rPr>
        <w:lastRenderedPageBreak/>
        <w:t>of the Board of Directors, members of the Supervisory Board, the Manager (General Manager) and other managers are members of the Board of Directors, the Executive Ma</w:t>
      </w:r>
      <w:r>
        <w:rPr>
          <w:rFonts w:ascii="Arial" w:hAnsi="Arial"/>
          <w:color w:val="010000"/>
          <w:sz w:val="20"/>
        </w:rPr>
        <w:t>nager (General Manager): None</w:t>
      </w:r>
    </w:p>
    <w:p w14:paraId="5D418E94" w14:textId="77777777" w:rsidR="005A2466" w:rsidRDefault="0085259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1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Other transactions of the Company (if any) which can bring about material or non-material benefits to members of the Board of Directors, members of the Supervisory Board, the Manager (General Manager) and other managers: None.</w:t>
      </w:r>
    </w:p>
    <w:p w14:paraId="3707BBCD" w14:textId="77777777" w:rsidR="005A2466" w:rsidRDefault="0085259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>
        <w:rPr>
          <w:rFonts w:ascii="Arial" w:hAnsi="Arial"/>
          <w:color w:val="010000"/>
          <w:sz w:val="20"/>
        </w:rPr>
        <w:t xml:space="preserve">Share transactions of </w:t>
      </w:r>
      <w:proofErr w:type="spellStart"/>
      <w:r>
        <w:rPr>
          <w:rFonts w:ascii="Arial" w:hAnsi="Arial"/>
          <w:color w:val="010000"/>
          <w:sz w:val="20"/>
        </w:rPr>
        <w:t>PDMR</w:t>
      </w:r>
      <w:proofErr w:type="spellEnd"/>
      <w:r>
        <w:rPr>
          <w:rFonts w:ascii="Arial" w:hAnsi="Arial"/>
          <w:color w:val="010000"/>
          <w:sz w:val="20"/>
        </w:rPr>
        <w:t xml:space="preserve"> and affiliated persons of </w:t>
      </w:r>
      <w:proofErr w:type="spellStart"/>
      <w:r>
        <w:rPr>
          <w:rFonts w:ascii="Arial" w:hAnsi="Arial"/>
          <w:color w:val="010000"/>
          <w:sz w:val="20"/>
        </w:rPr>
        <w:t>PDMR</w:t>
      </w:r>
      <w:proofErr w:type="spellEnd"/>
      <w:r>
        <w:rPr>
          <w:rFonts w:ascii="Arial" w:hAnsi="Arial"/>
          <w:color w:val="010000"/>
          <w:sz w:val="20"/>
        </w:rPr>
        <w:t xml:space="preserve"> (Report in 2023)</w:t>
      </w:r>
    </w:p>
    <w:p w14:paraId="3EBC80DD" w14:textId="77777777" w:rsidR="005A2466" w:rsidRDefault="008525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3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 of </w:t>
      </w:r>
      <w:proofErr w:type="spellStart"/>
      <w:r>
        <w:rPr>
          <w:rFonts w:ascii="Arial" w:hAnsi="Arial"/>
          <w:color w:val="010000"/>
          <w:sz w:val="20"/>
        </w:rPr>
        <w:t>PDMR</w:t>
      </w:r>
      <w:proofErr w:type="spellEnd"/>
      <w:r>
        <w:rPr>
          <w:rFonts w:ascii="Arial" w:hAnsi="Arial"/>
          <w:color w:val="010000"/>
          <w:sz w:val="20"/>
        </w:rPr>
        <w:t xml:space="preserve"> and affiliated persons related to the Company’s shares: None.</w:t>
      </w:r>
    </w:p>
    <w:p w14:paraId="60A86C82" w14:textId="77777777" w:rsidR="005A2466" w:rsidRDefault="0085259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Other significant issues </w:t>
      </w:r>
      <w:proofErr w:type="gramStart"/>
      <w:r>
        <w:rPr>
          <w:rFonts w:ascii="Arial" w:hAnsi="Arial"/>
          <w:color w:val="010000"/>
          <w:sz w:val="20"/>
        </w:rPr>
        <w:t>None</w:t>
      </w:r>
      <w:proofErr w:type="gramEnd"/>
      <w:r>
        <w:rPr>
          <w:rFonts w:ascii="Arial" w:hAnsi="Arial"/>
          <w:color w:val="010000"/>
          <w:sz w:val="20"/>
        </w:rPr>
        <w:t>.</w:t>
      </w:r>
    </w:p>
    <w:sectPr w:rsidR="005A2466">
      <w:pgSz w:w="11909" w:h="16840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C4451"/>
    <w:multiLevelType w:val="multilevel"/>
    <w:tmpl w:val="12F6A7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211B4"/>
    <w:multiLevelType w:val="multilevel"/>
    <w:tmpl w:val="9AC0416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8256050"/>
    <w:multiLevelType w:val="multilevel"/>
    <w:tmpl w:val="30161EBE"/>
    <w:lvl w:ilvl="0">
      <w:start w:val="1"/>
      <w:numFmt w:val="bullet"/>
      <w:lvlText w:val="+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BAD766B"/>
    <w:multiLevelType w:val="multilevel"/>
    <w:tmpl w:val="73E80CDC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EE663E6"/>
    <w:multiLevelType w:val="multilevel"/>
    <w:tmpl w:val="8F24F7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E3898"/>
    <w:multiLevelType w:val="multilevel"/>
    <w:tmpl w:val="96943F8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CB9496A"/>
    <w:multiLevelType w:val="multilevel"/>
    <w:tmpl w:val="4F6EA2A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466"/>
    <w:rsid w:val="005A2466"/>
    <w:rsid w:val="00852598"/>
    <w:rsid w:val="00EB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C04CC"/>
  <w15:docId w15:val="{001C86A3-988E-4911-9146-AAACF9CE2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7"/>
      <w:szCs w:val="17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0"/>
      <w:szCs w:val="10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color w:val="FF0000"/>
      <w:sz w:val="17"/>
      <w:szCs w:val="17"/>
    </w:rPr>
  </w:style>
  <w:style w:type="paragraph" w:customStyle="1" w:styleId="Heading11">
    <w:name w:val="Heading #1"/>
    <w:basedOn w:val="Normal"/>
    <w:link w:val="Heading10"/>
    <w:pPr>
      <w:ind w:left="26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qFormat/>
    <w:pPr>
      <w:spacing w:line="254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Other0">
    <w:name w:val="Other"/>
    <w:basedOn w:val="Normal"/>
    <w:link w:val="Other"/>
    <w:pPr>
      <w:spacing w:line="254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  <w:color w:val="FF0000"/>
      <w:sz w:val="10"/>
      <w:szCs w:val="10"/>
    </w:rPr>
  </w:style>
  <w:style w:type="paragraph" w:customStyle="1" w:styleId="Tablecaption0">
    <w:name w:val="Table caption"/>
    <w:basedOn w:val="Normal"/>
    <w:link w:val="Tablecaption"/>
    <w:pPr>
      <w:spacing w:line="245" w:lineRule="auto"/>
      <w:ind w:firstLine="350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Heading21">
    <w:name w:val="Heading #2"/>
    <w:basedOn w:val="Normal"/>
    <w:link w:val="Heading20"/>
    <w:pPr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table" w:styleId="TableGrid">
    <w:name w:val="Table Grid"/>
    <w:basedOn w:val="TableNormal"/>
    <w:uiPriority w:val="39"/>
    <w:rsid w:val="00E216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U4uOykNCxf5pCdkUVM4Az43Feg==">CgMxLjAyCGguZ2pkZ3hzOAByITFxSjBsTEJqZTRnNGV3TTZqOTJEeW11dk9xNllrWVZlYg==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2024-01-29T04:05:00Z</dcterms:created>
  <dcterms:modified xsi:type="dcterms:W3CDTF">2024-01-29T04:05:00Z</dcterms:modified>
</cp:coreProperties>
</file>