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202" w:rsidRPr="005B47BF" w:rsidRDefault="005B47BF" w:rsidP="00D04A8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B47BF">
        <w:rPr>
          <w:rFonts w:ascii="Arial" w:hAnsi="Arial" w:cs="Arial"/>
          <w:b/>
          <w:color w:val="010000"/>
          <w:sz w:val="20"/>
        </w:rPr>
        <w:t>SPD: Board Resolution</w:t>
      </w:r>
      <w:bookmarkStart w:id="0" w:name="_GoBack"/>
      <w:bookmarkEnd w:id="0"/>
    </w:p>
    <w:p w14:paraId="00000002" w14:textId="77777777" w:rsidR="00080202" w:rsidRPr="005B47BF" w:rsidRDefault="005B47BF" w:rsidP="00D04A8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On January 23, 2024, Danang Seaproducts Import-Export Corporation announced Resolution No. 02A/2024/ NQ-HDQT on recording the list of shareholders of Danang Seaproducts Import-Export Corporation to exercise the rights to attend the Annual General Meeting of Shareholders 2024 as follows:</w:t>
      </w:r>
    </w:p>
    <w:p w14:paraId="00000003" w14:textId="58B9A79B" w:rsidR="00080202" w:rsidRPr="005B47BF" w:rsidRDefault="005B47BF" w:rsidP="00D04A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‎‎Article 1. Agree on the approval of the record date for the list of shareholders to exercise the rights to attend the Annual General Meeting of Shareholders</w:t>
      </w:r>
      <w:r w:rsidR="006A65FF" w:rsidRPr="005B47BF">
        <w:rPr>
          <w:rFonts w:ascii="Arial" w:hAnsi="Arial" w:cs="Arial"/>
          <w:color w:val="010000"/>
          <w:sz w:val="20"/>
        </w:rPr>
        <w:t xml:space="preserve"> 2024</w:t>
      </w:r>
      <w:r w:rsidRPr="005B47BF">
        <w:rPr>
          <w:rFonts w:ascii="Arial" w:hAnsi="Arial" w:cs="Arial"/>
          <w:color w:val="010000"/>
          <w:sz w:val="20"/>
        </w:rPr>
        <w:t xml:space="preserve"> of Danang Seaproducts Import-Export Corporation, specifically as follows:</w:t>
      </w:r>
    </w:p>
    <w:p w14:paraId="00000004" w14:textId="77777777" w:rsidR="00080202" w:rsidRPr="005B47BF" w:rsidRDefault="005B47BF" w:rsidP="00D04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Share name: Shares of Danang Seaproducts Import-Export Corporation</w:t>
      </w:r>
    </w:p>
    <w:p w14:paraId="00000005" w14:textId="53FC840A" w:rsidR="00080202" w:rsidRPr="005B47BF" w:rsidRDefault="005B47BF" w:rsidP="00D04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Securities code:</w:t>
      </w:r>
      <w:r w:rsidR="006A65FF" w:rsidRPr="005B47BF">
        <w:rPr>
          <w:rFonts w:ascii="Arial" w:hAnsi="Arial" w:cs="Arial"/>
          <w:color w:val="010000"/>
          <w:sz w:val="20"/>
        </w:rPr>
        <w:t xml:space="preserve"> </w:t>
      </w:r>
      <w:r w:rsidRPr="005B47BF">
        <w:rPr>
          <w:rFonts w:ascii="Arial" w:hAnsi="Arial" w:cs="Arial"/>
          <w:color w:val="010000"/>
          <w:sz w:val="20"/>
        </w:rPr>
        <w:t>SPD</w:t>
      </w:r>
    </w:p>
    <w:p w14:paraId="00000006" w14:textId="77777777" w:rsidR="00080202" w:rsidRPr="005B47BF" w:rsidRDefault="005B47BF" w:rsidP="00D04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 xml:space="preserve">Par value: VND 10,000/share </w:t>
      </w:r>
    </w:p>
    <w:p w14:paraId="00000008" w14:textId="77777777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Exchange: UPCoM</w:t>
      </w:r>
    </w:p>
    <w:p w14:paraId="00000009" w14:textId="77777777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Record date of the list of shareholders: March 12, 2024</w:t>
      </w:r>
    </w:p>
    <w:p w14:paraId="0000000A" w14:textId="77777777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Reasons and purposes: Organize the Annual General Meeting of Shareholders 2024 of Danang Seaproducts Import-Export Corporation.</w:t>
      </w:r>
    </w:p>
    <w:p w14:paraId="0000000B" w14:textId="77777777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Exercise rate: 01 share - 01 voting right</w:t>
      </w:r>
    </w:p>
    <w:p w14:paraId="0000000C" w14:textId="77777777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Expected organization time is April 12, 2024 (Friday, March 4 of the Lunar Calendar)</w:t>
      </w:r>
    </w:p>
    <w:p w14:paraId="0000000D" w14:textId="3EFFDF38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Venue: Plan</w:t>
      </w:r>
      <w:r w:rsidR="006A65FF" w:rsidRPr="005B47BF">
        <w:rPr>
          <w:rFonts w:ascii="Arial" w:hAnsi="Arial" w:cs="Arial"/>
          <w:color w:val="010000"/>
          <w:sz w:val="20"/>
        </w:rPr>
        <w:t>ned</w:t>
      </w:r>
      <w:r w:rsidRPr="005B47BF">
        <w:rPr>
          <w:rFonts w:ascii="Arial" w:hAnsi="Arial" w:cs="Arial"/>
          <w:color w:val="010000"/>
          <w:sz w:val="20"/>
        </w:rPr>
        <w:t xml:space="preserve"> to rent a dedicated meeting room at the hotel in Da Nang.</w:t>
      </w:r>
    </w:p>
    <w:p w14:paraId="0000000E" w14:textId="77777777" w:rsidR="00080202" w:rsidRPr="005B47BF" w:rsidRDefault="005B47BF" w:rsidP="00D04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Expected contents:</w:t>
      </w:r>
    </w:p>
    <w:p w14:paraId="0000000F" w14:textId="77777777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Report of the Board of Directors on activities of the Board of Directors in 2023;</w:t>
      </w:r>
    </w:p>
    <w:p w14:paraId="00000010" w14:textId="77777777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Report of the Supervisory Board in 2023;</w:t>
      </w:r>
    </w:p>
    <w:p w14:paraId="00000011" w14:textId="77777777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Proposal No. 01/2024/TT-DHDCD of the Board of Directors on the “Audited Financial Statements 2023”.</w:t>
      </w:r>
    </w:p>
    <w:p w14:paraId="00000012" w14:textId="77777777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Proposal No. 02/2024/TT-DHDCD of the Board of Directors on the “Profit distribution plan in 2023”;</w:t>
      </w:r>
    </w:p>
    <w:p w14:paraId="00000013" w14:textId="1A557A9B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 xml:space="preserve">Proposal No. 03/2024/TT-DHDCD of the Board of Directors on the “Business and Production </w:t>
      </w:r>
      <w:r w:rsidR="006A65FF" w:rsidRPr="005B47BF">
        <w:rPr>
          <w:rFonts w:ascii="Arial" w:hAnsi="Arial" w:cs="Arial"/>
          <w:color w:val="010000"/>
          <w:sz w:val="20"/>
        </w:rPr>
        <w:t>Plan</w:t>
      </w:r>
      <w:r w:rsidRPr="005B47BF">
        <w:rPr>
          <w:rFonts w:ascii="Arial" w:hAnsi="Arial" w:cs="Arial"/>
          <w:color w:val="010000"/>
          <w:sz w:val="20"/>
        </w:rPr>
        <w:t xml:space="preserve"> in 2024”;</w:t>
      </w:r>
    </w:p>
    <w:p w14:paraId="00000014" w14:textId="77777777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Proposal No. 04/2024/TT-DHDCD of the Board of Directors on the “Remuneration for the Board of Directors and the Supervisory Board in 2024”.</w:t>
      </w:r>
    </w:p>
    <w:p w14:paraId="00000015" w14:textId="77777777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Proposal No. 05/2024/TT-DHDCD of the Board of Directors on the “Selection of an audit company for the Financial Statements 2024”;</w:t>
      </w:r>
    </w:p>
    <w:p w14:paraId="00000016" w14:textId="77777777" w:rsidR="00080202" w:rsidRPr="005B47BF" w:rsidRDefault="005B47BF" w:rsidP="00D04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Other contents (if any).</w:t>
      </w:r>
    </w:p>
    <w:p w14:paraId="00000017" w14:textId="77777777" w:rsidR="00080202" w:rsidRPr="005B47BF" w:rsidRDefault="005B47BF" w:rsidP="00D04A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 xml:space="preserve">‎‎Article 2. Approve authorizing the General Manager to implement necessary procedures related to </w:t>
      </w:r>
      <w:r w:rsidRPr="005B47BF">
        <w:rPr>
          <w:rFonts w:ascii="Arial" w:hAnsi="Arial" w:cs="Arial"/>
          <w:color w:val="010000"/>
          <w:sz w:val="20"/>
        </w:rPr>
        <w:lastRenderedPageBreak/>
        <w:t>recording the list of shareholders of Danang Seaproducts Import-Export Corporation to exercise the rights to attend the Annual General Meeting of Shareholders 2024 of the Company.</w:t>
      </w:r>
    </w:p>
    <w:p w14:paraId="00000018" w14:textId="77777777" w:rsidR="00080202" w:rsidRPr="005B47BF" w:rsidRDefault="005B47BF" w:rsidP="00D04A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The Board of Directors assigns the General Manager to direct the functional departments to carry out the procedures related to recording the list of shareholders of Danang Seaproducts Import-Export Corporation to exercise the rights to attend the Annual General Meeting of Shareholders 2024 approved by the Board of Directors and in accordance with current provisions of law.</w:t>
      </w:r>
    </w:p>
    <w:p w14:paraId="00000019" w14:textId="28EF50CB" w:rsidR="00080202" w:rsidRPr="005B47BF" w:rsidRDefault="005B47BF" w:rsidP="00D04A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 xml:space="preserve">‎‎Article 3. Validity and </w:t>
      </w:r>
      <w:r w:rsidR="006A65FF" w:rsidRPr="005B47BF">
        <w:rPr>
          <w:rFonts w:ascii="Arial" w:hAnsi="Arial" w:cs="Arial"/>
          <w:color w:val="010000"/>
          <w:sz w:val="20"/>
        </w:rPr>
        <w:t>implementation</w:t>
      </w:r>
    </w:p>
    <w:p w14:paraId="0000001A" w14:textId="77777777" w:rsidR="00080202" w:rsidRPr="005B47BF" w:rsidRDefault="005B47BF" w:rsidP="00D04A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BF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B" w14:textId="77777777" w:rsidR="00080202" w:rsidRPr="005B47BF" w:rsidRDefault="005B47BF" w:rsidP="00D04A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B47BF">
        <w:rPr>
          <w:rFonts w:ascii="Arial" w:hAnsi="Arial" w:cs="Arial"/>
          <w:color w:val="010000"/>
          <w:sz w:val="20"/>
        </w:rPr>
        <w:t>Members of the Board of Directors, members of the Board of Management, the Company’s Chief Accountant and related professional departments are responsible for strictly implementing this Resolution.</w:t>
      </w:r>
    </w:p>
    <w:p w14:paraId="26DC59F0" w14:textId="77777777" w:rsidR="00D04A88" w:rsidRPr="005B47BF" w:rsidRDefault="00D04A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04A88" w:rsidRPr="005B47BF" w:rsidSect="006A65F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62A"/>
    <w:multiLevelType w:val="multilevel"/>
    <w:tmpl w:val="B6CA09F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DE4541"/>
    <w:multiLevelType w:val="multilevel"/>
    <w:tmpl w:val="A70E6D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FC0CBB"/>
    <w:multiLevelType w:val="multilevel"/>
    <w:tmpl w:val="44BAFEA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44239D"/>
    <w:multiLevelType w:val="multilevel"/>
    <w:tmpl w:val="2138C4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02"/>
    <w:rsid w:val="00080202"/>
    <w:rsid w:val="005B47BF"/>
    <w:rsid w:val="006A65FF"/>
    <w:rsid w:val="00D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F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E0F37"/>
      <w:sz w:val="12"/>
      <w:szCs w:val="1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CE0F37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color w:val="2D334F"/>
      <w:sz w:val="54"/>
      <w:szCs w:val="5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334F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E0F37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96" w:lineRule="auto"/>
      <w:jc w:val="right"/>
    </w:pPr>
    <w:rPr>
      <w:rFonts w:ascii="Arial" w:eastAsia="Arial" w:hAnsi="Arial" w:cs="Arial"/>
      <w:b/>
      <w:bCs/>
      <w:color w:val="CE0F37"/>
      <w:sz w:val="12"/>
      <w:szCs w:val="12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color w:val="CE0F37"/>
      <w:sz w:val="20"/>
      <w:szCs w:val="20"/>
    </w:rPr>
  </w:style>
  <w:style w:type="paragraph" w:customStyle="1" w:styleId="Heading11">
    <w:name w:val="Heading #1"/>
    <w:basedOn w:val="Normal"/>
    <w:link w:val="Heading10"/>
    <w:pPr>
      <w:outlineLvl w:val="0"/>
    </w:pPr>
    <w:rPr>
      <w:color w:val="2D334F"/>
      <w:sz w:val="54"/>
      <w:szCs w:val="54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b/>
      <w:bCs/>
      <w:color w:val="2D334F"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50">
    <w:name w:val="Body text (5)"/>
    <w:basedOn w:val="Normal"/>
    <w:link w:val="Bodytext5"/>
    <w:pPr>
      <w:ind w:left="6120"/>
    </w:pPr>
    <w:rPr>
      <w:rFonts w:ascii="Times New Roman" w:eastAsia="Times New Roman" w:hAnsi="Times New Roman" w:cs="Times New Roman"/>
      <w:b/>
      <w:bCs/>
      <w:color w:val="CE0F37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E0F37"/>
      <w:sz w:val="12"/>
      <w:szCs w:val="1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CE0F37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color w:val="2D334F"/>
      <w:sz w:val="54"/>
      <w:szCs w:val="5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334F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E0F37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96" w:lineRule="auto"/>
      <w:jc w:val="right"/>
    </w:pPr>
    <w:rPr>
      <w:rFonts w:ascii="Arial" w:eastAsia="Arial" w:hAnsi="Arial" w:cs="Arial"/>
      <w:b/>
      <w:bCs/>
      <w:color w:val="CE0F37"/>
      <w:sz w:val="12"/>
      <w:szCs w:val="12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color w:val="CE0F37"/>
      <w:sz w:val="20"/>
      <w:szCs w:val="20"/>
    </w:rPr>
  </w:style>
  <w:style w:type="paragraph" w:customStyle="1" w:styleId="Heading11">
    <w:name w:val="Heading #1"/>
    <w:basedOn w:val="Normal"/>
    <w:link w:val="Heading10"/>
    <w:pPr>
      <w:outlineLvl w:val="0"/>
    </w:pPr>
    <w:rPr>
      <w:color w:val="2D334F"/>
      <w:sz w:val="54"/>
      <w:szCs w:val="54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b/>
      <w:bCs/>
      <w:color w:val="2D334F"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50">
    <w:name w:val="Body text (5)"/>
    <w:basedOn w:val="Normal"/>
    <w:link w:val="Bodytext5"/>
    <w:pPr>
      <w:ind w:left="6120"/>
    </w:pPr>
    <w:rPr>
      <w:rFonts w:ascii="Times New Roman" w:eastAsia="Times New Roman" w:hAnsi="Times New Roman" w:cs="Times New Roman"/>
      <w:b/>
      <w:bCs/>
      <w:color w:val="CE0F37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29aXkVzCyyMY18mpyoBrioE0Ag==">CgMxLjAyCGguZ2pkZ3hzOAByITFQMk94S3BRemxhZC0xcXlGa0pSWGp5RkFXTEdkSm0wOA==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2024-01-26T04:31:00Z</dcterms:created>
  <dcterms:modified xsi:type="dcterms:W3CDTF">2024-01-29T07:11:00Z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6d64493cef5fb5871bb0a1a6a3cbac2580998e2fea16c5c9e25b7f4ad77f17fb</vt:lpwstr>
  </property>
</Properties>
</file>