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8A79" w14:textId="77777777" w:rsidR="007B59D9" w:rsidRDefault="00B33EEA" w:rsidP="00D70DE9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TUG: Annual Corporate Governance Report 2023</w:t>
      </w:r>
    </w:p>
    <w:p w14:paraId="664DEAD8" w14:textId="4319E233" w:rsidR="007B59D9" w:rsidRDefault="00B33EEA" w:rsidP="00D70DE9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24, 2024, Haiphong Port Tugboat and Transport Joint Stock Company announced Report No. 65/</w:t>
      </w:r>
      <w:proofErr w:type="spellStart"/>
      <w:r>
        <w:rPr>
          <w:rFonts w:ascii="Arial" w:hAnsi="Arial"/>
          <w:color w:val="010000"/>
          <w:sz w:val="20"/>
        </w:rPr>
        <w:t>BC-LD&amp;VT</w:t>
      </w:r>
      <w:proofErr w:type="spellEnd"/>
      <w:r>
        <w:rPr>
          <w:rFonts w:ascii="Arial" w:hAnsi="Arial"/>
          <w:color w:val="010000"/>
          <w:sz w:val="20"/>
        </w:rPr>
        <w:t xml:space="preserve"> on corporate governance 2023 as follows: </w:t>
      </w:r>
    </w:p>
    <w:p w14:paraId="56375038" w14:textId="77777777" w:rsidR="007B59D9" w:rsidRDefault="00B33EEA" w:rsidP="00D70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Haiphong Port Tugboat and Transport Joint Stock Company</w:t>
      </w:r>
    </w:p>
    <w:p w14:paraId="230D5694" w14:textId="77777777" w:rsidR="007B59D9" w:rsidRDefault="00B33EEA" w:rsidP="00D70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No. 4 Ly </w:t>
      </w:r>
      <w:proofErr w:type="spellStart"/>
      <w:r>
        <w:rPr>
          <w:rFonts w:ascii="Arial" w:hAnsi="Arial"/>
          <w:color w:val="010000"/>
          <w:sz w:val="20"/>
        </w:rPr>
        <w:t>Tu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Trong</w:t>
      </w:r>
      <w:proofErr w:type="spellEnd"/>
      <w:r>
        <w:rPr>
          <w:rFonts w:ascii="Arial" w:hAnsi="Arial"/>
          <w:color w:val="010000"/>
          <w:sz w:val="20"/>
        </w:rPr>
        <w:t xml:space="preserve"> Street, Minh </w:t>
      </w:r>
      <w:proofErr w:type="spellStart"/>
      <w:r>
        <w:rPr>
          <w:rFonts w:ascii="Arial" w:hAnsi="Arial"/>
          <w:color w:val="010000"/>
          <w:sz w:val="20"/>
        </w:rPr>
        <w:t>Khai</w:t>
      </w:r>
      <w:proofErr w:type="spellEnd"/>
      <w:r>
        <w:rPr>
          <w:rFonts w:ascii="Arial" w:hAnsi="Arial"/>
          <w:color w:val="010000"/>
          <w:sz w:val="20"/>
        </w:rPr>
        <w:t xml:space="preserve"> Ward, Hong Bang District, Hai Phong City.   </w:t>
      </w:r>
    </w:p>
    <w:p w14:paraId="51BF2443" w14:textId="5B6BD689" w:rsidR="007B59D9" w:rsidRDefault="00B33EEA" w:rsidP="00D70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6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02253.569.873   Fax: 02253.747.073</w:t>
      </w:r>
    </w:p>
    <w:p w14:paraId="2CDEF688" w14:textId="7FC1574C" w:rsidR="007B59D9" w:rsidRDefault="00B33EEA" w:rsidP="00D70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27,000,000,000</w:t>
      </w:r>
    </w:p>
    <w:p w14:paraId="00A4913B" w14:textId="77777777" w:rsidR="007B59D9" w:rsidRDefault="00B33EEA" w:rsidP="00D70D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TUG</w:t>
      </w:r>
    </w:p>
    <w:p w14:paraId="44644565" w14:textId="77777777" w:rsidR="007B59D9" w:rsidRDefault="00B33EEA" w:rsidP="00D70D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55C7200A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2415"/>
        <w:gridCol w:w="1338"/>
        <w:gridCol w:w="4714"/>
      </w:tblGrid>
      <w:tr w:rsidR="00C34B24" w14:paraId="350D3D5D" w14:textId="77777777" w:rsidTr="00DA125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4F799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B8BDD" w14:textId="62B1205F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3CDE5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EA141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C34B24" w14:paraId="55A45ED1" w14:textId="77777777" w:rsidTr="00DA125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7F146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FF820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01.2023/NQ-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45514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09EAE" w14:textId="1B497831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C34B24" w14:paraId="5C76C90A" w14:textId="77777777" w:rsidTr="00DA125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64E19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EC436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01.2023/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QD-DHDCD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E9A7E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9B2A1" w14:textId="6AED099F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  <w:tr w:rsidR="00C34B24" w14:paraId="46B522C8" w14:textId="77777777" w:rsidTr="00DA1258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B7CE4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3251F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02.2023/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QD-DHDCD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6CE4A" w14:textId="77777777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4AE72" w14:textId="71282A44" w:rsidR="00C34B24" w:rsidRDefault="00C34B24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79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6FFB2384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(2023).</w:t>
      </w:r>
    </w:p>
    <w:p w14:paraId="108E672E" w14:textId="77777777" w:rsidR="007B59D9" w:rsidRDefault="00B33EEA" w:rsidP="00D70D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3522"/>
        <w:gridCol w:w="2222"/>
        <w:gridCol w:w="1270"/>
        <w:gridCol w:w="1192"/>
      </w:tblGrid>
      <w:tr w:rsidR="007B59D9" w14:paraId="72A64257" w14:textId="77777777">
        <w:tc>
          <w:tcPr>
            <w:tcW w:w="811" w:type="dxa"/>
            <w:vMerge w:val="restart"/>
            <w:shd w:val="clear" w:color="auto" w:fill="auto"/>
            <w:vAlign w:val="center"/>
          </w:tcPr>
          <w:p w14:paraId="42191CA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14:paraId="586D6E2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14:paraId="7927206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6D12507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 member of the Board of Directors</w:t>
            </w:r>
          </w:p>
        </w:tc>
      </w:tr>
      <w:tr w:rsidR="007B59D9" w14:paraId="4DF1CA17" w14:textId="77777777">
        <w:tc>
          <w:tcPr>
            <w:tcW w:w="811" w:type="dxa"/>
            <w:vMerge/>
            <w:shd w:val="clear" w:color="auto" w:fill="auto"/>
            <w:vAlign w:val="center"/>
          </w:tcPr>
          <w:p w14:paraId="6F4C04B4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  <w:vAlign w:val="center"/>
          </w:tcPr>
          <w:p w14:paraId="525D6C65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14:paraId="65143408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31D12D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D68863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7B59D9" w14:paraId="3EE2C28F" w14:textId="77777777">
        <w:tc>
          <w:tcPr>
            <w:tcW w:w="811" w:type="dxa"/>
            <w:shd w:val="clear" w:color="auto" w:fill="auto"/>
            <w:vAlign w:val="center"/>
          </w:tcPr>
          <w:p w14:paraId="4FE2B39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7107C8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Van Dung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E86044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65E412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F73615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9D9" w14:paraId="6D29FB3B" w14:textId="77777777">
        <w:tc>
          <w:tcPr>
            <w:tcW w:w="811" w:type="dxa"/>
            <w:shd w:val="clear" w:color="auto" w:fill="auto"/>
            <w:vAlign w:val="center"/>
          </w:tcPr>
          <w:p w14:paraId="1C4EB66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2B847B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Minh Hai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2A3F71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74B35BA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B58EA87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9D9" w14:paraId="23F512E5" w14:textId="77777777">
        <w:tc>
          <w:tcPr>
            <w:tcW w:w="811" w:type="dxa"/>
            <w:shd w:val="clear" w:color="auto" w:fill="auto"/>
            <w:vAlign w:val="center"/>
          </w:tcPr>
          <w:p w14:paraId="7E97FD7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7E4BCB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Thanh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D298324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C98C5D0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BE965D9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9D9" w14:paraId="2C5596B0" w14:textId="77777777">
        <w:tc>
          <w:tcPr>
            <w:tcW w:w="811" w:type="dxa"/>
            <w:shd w:val="clear" w:color="auto" w:fill="auto"/>
            <w:vAlign w:val="center"/>
          </w:tcPr>
          <w:p w14:paraId="0BE2A59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0F7A03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6CA62AF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387AFD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June 26,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AD30438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9D9" w14:paraId="34A32627" w14:textId="77777777">
        <w:tc>
          <w:tcPr>
            <w:tcW w:w="811" w:type="dxa"/>
            <w:shd w:val="clear" w:color="auto" w:fill="auto"/>
            <w:vAlign w:val="center"/>
          </w:tcPr>
          <w:p w14:paraId="6A82963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EC958E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Tat Dat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D647419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C6EFA7" w14:textId="77777777" w:rsidR="007B59D9" w:rsidRDefault="00B33EEA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7E483DB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710C2E" w14:textId="4F766306" w:rsidR="007B59D9" w:rsidRDefault="00B33EEA" w:rsidP="00D70D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1000AA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in 2023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646"/>
        <w:gridCol w:w="1706"/>
        <w:gridCol w:w="1138"/>
        <w:gridCol w:w="5527"/>
      </w:tblGrid>
      <w:tr w:rsidR="007B59D9" w14:paraId="0BBC71C4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D1B2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763DD" w14:textId="151E57F9" w:rsidR="007B59D9" w:rsidRDefault="00645CE0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Resolutionss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/Board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Decisionss</w:t>
            </w:r>
            <w:proofErr w:type="spellEnd"/>
            <w:r w:rsidR="00B33EEA">
              <w:rPr>
                <w:rFonts w:ascii="Arial" w:hAnsi="Arial"/>
                <w:color w:val="010000"/>
                <w:sz w:val="20"/>
              </w:rPr>
              <w:t xml:space="preserve"> No.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ECDB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669F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B59D9" w14:paraId="54F63EB2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52CD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7111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8AF3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7EDB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signing of the service contract in 2023 with Hai Phong Port and Subsidiaries of Hai Phong Port</w:t>
            </w:r>
          </w:p>
        </w:tc>
      </w:tr>
      <w:tr w:rsidR="007B59D9" w14:paraId="6964B04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010A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A9B6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95B2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A7D4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Temporarily assign the production and business, and salary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</w:t>
            </w:r>
          </w:p>
        </w:tc>
      </w:tr>
      <w:tr w:rsidR="007B59D9" w14:paraId="63A4F5C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CA44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595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B29C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DD86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on re-appointing the Manager of the Company</w:t>
            </w:r>
          </w:p>
        </w:tc>
      </w:tr>
      <w:tr w:rsidR="007B59D9" w14:paraId="17B697D5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6FE1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E5D7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3B4E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F0D1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realized salary fund in 2022</w:t>
            </w:r>
          </w:p>
        </w:tc>
      </w:tr>
      <w:tr w:rsidR="007B59D9" w14:paraId="2C68F433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B83B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A072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826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40FA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the Manager of the Company</w:t>
            </w:r>
          </w:p>
        </w:tc>
      </w:tr>
      <w:tr w:rsidR="007B59D9" w14:paraId="5C714B5D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D186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DF30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0EB3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CAC7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 the Manager of the Company</w:t>
            </w:r>
          </w:p>
        </w:tc>
      </w:tr>
      <w:tr w:rsidR="007B59D9" w14:paraId="4BE1ED88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50B7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5EEE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A2A5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759E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contractor selection plan for the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TV03</w:t>
            </w:r>
            <w:proofErr w:type="spellEnd"/>
          </w:p>
        </w:tc>
      </w:tr>
      <w:tr w:rsidR="007B59D9" w14:paraId="14373E1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24DB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CB1D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E38D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7D73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contractor selection plan for the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TV03</w:t>
            </w:r>
            <w:proofErr w:type="spellEnd"/>
          </w:p>
        </w:tc>
      </w:tr>
      <w:tr w:rsidR="007B59D9" w14:paraId="15707C5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65A6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76EB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211/NQ-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7D5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8F73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the Annual General Meeting of Shareholders 2023</w:t>
            </w:r>
          </w:p>
        </w:tc>
      </w:tr>
      <w:tr w:rsidR="007B59D9" w14:paraId="5163BF63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F693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3C7E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9DFB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8125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results of business operations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, the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Q2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/2023, and other contents</w:t>
            </w:r>
          </w:p>
        </w:tc>
      </w:tr>
      <w:tr w:rsidR="007B59D9" w14:paraId="31CCB3A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20C8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6C56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EA7F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DF85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Organizing Committee assisting the Annual General Meeting of Shareholders 2023</w:t>
            </w:r>
          </w:p>
        </w:tc>
      </w:tr>
      <w:tr w:rsidR="007B59D9" w14:paraId="5E7B3B66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568F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9586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258/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20F0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6AF9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Organizing Committee assisting the Annual General Meeting of Shareholders 2023</w:t>
            </w:r>
          </w:p>
        </w:tc>
      </w:tr>
      <w:tr w:rsidR="007B59D9" w14:paraId="37FDC7B9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2A87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508E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4ABC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E4A1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agenda and preparations for the Annual General Meeting of Shareholders 2023</w:t>
            </w:r>
          </w:p>
        </w:tc>
      </w:tr>
      <w:tr w:rsidR="007B59D9" w14:paraId="3325F498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3DCD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C461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390/NQ-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A220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8EE9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Agenda contents of the Annual General Meeting of Shareholders 2023</w:t>
            </w:r>
          </w:p>
        </w:tc>
      </w:tr>
      <w:tr w:rsidR="007B59D9" w14:paraId="140018EE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5279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D74F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406/NQ-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C499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12D3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Agenda contents and documents of the Annual General Meeting of Shareholders 2023</w:t>
            </w:r>
          </w:p>
        </w:tc>
      </w:tr>
      <w:tr w:rsidR="007B59D9" w14:paraId="78CA0E29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931A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2FA0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E01D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3,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A144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Sign the service contract with Hoang Dieu Port One Member Limited Company</w:t>
            </w:r>
          </w:p>
        </w:tc>
      </w:tr>
      <w:tr w:rsidR="007B59D9" w14:paraId="7085A43A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E37A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9C5C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5417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DCB8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plan for 2022</w:t>
            </w:r>
          </w:p>
        </w:tc>
      </w:tr>
      <w:tr w:rsidR="007B59D9" w14:paraId="5F017D24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A290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B10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446/NQ-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76DC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BFD4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result of production and business activities result in the first 6 months, the plan for the last 6 months, and some other tasks</w:t>
            </w:r>
          </w:p>
        </w:tc>
      </w:tr>
      <w:tr w:rsidR="007B59D9" w14:paraId="34FF6439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AA5D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837A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464/NQ-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4E7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A558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in 2023</w:t>
            </w:r>
          </w:p>
        </w:tc>
      </w:tr>
      <w:tr w:rsidR="007B59D9" w14:paraId="2695547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4AC4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139B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479/NQ-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0F8B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2D51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budget, and plan for selecting contractors, the task of preparing the bidding dossier, and evaluating the bidding dossier for the project management package</w:t>
            </w:r>
          </w:p>
        </w:tc>
      </w:tr>
      <w:tr w:rsidR="00D70DE9" w14:paraId="18C56A71" w14:textId="77777777" w:rsidTr="00775A64">
        <w:trPr>
          <w:trHeight w:val="11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6C208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E9475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480/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22764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E0DD5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budget, and plan for selecting contractors, the task of preparing the bidding dossier, and evaluating the bidding dossier for the project management package</w:t>
            </w:r>
          </w:p>
        </w:tc>
      </w:tr>
      <w:tr w:rsidR="007B59D9" w14:paraId="08C24E0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B2F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C7C4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96B0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B589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increasing the charter capital and borrowing to serve the Azimuth tugboat retrofit project</w:t>
            </w:r>
          </w:p>
        </w:tc>
      </w:tr>
      <w:tr w:rsidR="007B59D9" w14:paraId="21410EB2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9479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BC01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555E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E2C9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labor and salary plan in 2023</w:t>
            </w:r>
          </w:p>
        </w:tc>
      </w:tr>
      <w:tr w:rsidR="007B59D9" w14:paraId="0EAACDB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D8FD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4086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621/NQ-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2C3A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15,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81FD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the bidding dossier completion for the project management consulting package and some other contents</w:t>
            </w:r>
          </w:p>
        </w:tc>
      </w:tr>
      <w:tr w:rsidR="007B59D9" w14:paraId="19D79E3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3491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8B0A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CFB2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D2D1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budget, and plan for selecting a contractor for the project management consulting services</w:t>
            </w:r>
          </w:p>
        </w:tc>
      </w:tr>
      <w:tr w:rsidR="007B59D9" w14:paraId="54292DDD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DECD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4B34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F62B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B0D4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budget, and plan for selecting a contractor for the project management consulting services</w:t>
            </w:r>
          </w:p>
        </w:tc>
      </w:tr>
      <w:tr w:rsidR="007B59D9" w14:paraId="3901ECEE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65A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5A6D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350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2A8C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bidding dossier (E-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HSMT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),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: Consult the Project management</w:t>
            </w:r>
          </w:p>
        </w:tc>
      </w:tr>
      <w:tr w:rsidR="007B59D9" w14:paraId="54248B4E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B2BF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9EB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648/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C9F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FBE4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bidding dossier (E-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HSMT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),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: Consult the Project management</w:t>
            </w:r>
          </w:p>
        </w:tc>
      </w:tr>
      <w:tr w:rsidR="007B59D9" w14:paraId="26B57DB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1086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D165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DD74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96F7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invitation letter and list of credit institutions receiving the Invitation to carry out loans borrowing to serve the Azimuth tugboat retrofit project</w:t>
            </w:r>
          </w:p>
        </w:tc>
      </w:tr>
      <w:tr w:rsidR="007B59D9" w14:paraId="662B8AE4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5E29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2FC1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E0FD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387B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Summary of the first 9 months of the year,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Q4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/2023, and other contents</w:t>
            </w:r>
          </w:p>
        </w:tc>
      </w:tr>
      <w:tr w:rsidR="007B59D9" w14:paraId="2DB93960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C4B3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F00A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740/NQ-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A02C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977E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evaluation results of the Technical Proposal Dossier for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</w:p>
        </w:tc>
      </w:tr>
      <w:tr w:rsidR="007B59D9" w14:paraId="32EA5D8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ADFB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5EA3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741/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62AC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4BB8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evaluation results of the Technical Proposal Dossier for bidding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</w:p>
        </w:tc>
      </w:tr>
      <w:tr w:rsidR="007B59D9" w14:paraId="469850E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365E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82E0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759/NQ-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B5CE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C10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outline, budget, and plan for selecting contractors, the task of preparing the bidding dossier, and evaluating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EISDT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for the technical design, equipment procurement, and construction of the Azimuth tugboat retrofit project</w:t>
            </w:r>
          </w:p>
        </w:tc>
      </w:tr>
      <w:tr w:rsidR="007B59D9" w14:paraId="3E9F8EE6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5B26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AABA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760/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81E6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23A9F" w14:textId="65415AB4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outline, budget, and plan for selecting contractors, the task of preparing the bidding dossier, and evaluating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EISDT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for the technical design, equipment procurement, and construction of the Azimuth tugboat retrofit project</w:t>
            </w:r>
          </w:p>
        </w:tc>
      </w:tr>
      <w:tr w:rsidR="007B59D9" w14:paraId="28FB8D64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9DCA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3D1D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807/NQ-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6A5D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3DB9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ECNT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result and content of contract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7B59D9" w14:paraId="00181104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BF9E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E5B0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808/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6BBB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6,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B25D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ECNT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result and content of contract package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TV05</w:t>
            </w:r>
            <w:proofErr w:type="spellEnd"/>
          </w:p>
        </w:tc>
      </w:tr>
      <w:tr w:rsidR="007B59D9" w14:paraId="3B584D15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165D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13C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814/NQ-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D31A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7,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7BF7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result of 11- month business operations, the review of the progress of investment in the construction of the Azimuth tugboat retrofit project</w:t>
            </w:r>
          </w:p>
        </w:tc>
      </w:tr>
      <w:tr w:rsidR="007B59D9" w14:paraId="1025CECA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2023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B947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822/NQ-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B00E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D904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Finalize the Evaluation Team of the Azimuth tugboat retrofit project</w:t>
            </w:r>
          </w:p>
        </w:tc>
      </w:tr>
      <w:tr w:rsidR="007B59D9" w14:paraId="577E42E2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AD5A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433D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507A9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3A85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Finalize the Evaluation Team of the Azimuth tugboat retrofit project</w:t>
            </w:r>
          </w:p>
        </w:tc>
      </w:tr>
      <w:tr w:rsidR="007B59D9" w14:paraId="597DA55C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8CF2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049C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843/NQ-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B817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19,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22C6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cost estimate, and plan on choosing contractors, procurement of equipment, and construction of the shipbuilding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EPC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Contractor) and the work of reviewing the bidding dossier, and the result of choosing contractors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EPC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Contractor package</w:t>
            </w:r>
          </w:p>
        </w:tc>
      </w:tr>
      <w:tr w:rsidR="007B59D9" w14:paraId="4288D0D6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D9AA1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1F50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844/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1952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19,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51A2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outline, cost estimate, and plan on choosing contractors, procurement of equipment, and construction of the shipbuilding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EPC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Contractor) and the work of reviewing the bidding dossier, and the result of choosing contractors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EPC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General Contractor package</w:t>
            </w:r>
          </w:p>
        </w:tc>
      </w:tr>
      <w:tr w:rsidR="007B59D9" w14:paraId="398A00F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81F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629D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870/NQ-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EBE92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AEC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signing of the service contract with Hai Phong Port and Subsidiaries of Hai Phong Port</w:t>
            </w:r>
          </w:p>
          <w:p w14:paraId="3CB9A8B5" w14:textId="77777777" w:rsidR="007B59D9" w:rsidRDefault="007B59D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C91B618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 in 2023:</w:t>
      </w:r>
    </w:p>
    <w:p w14:paraId="1D038206" w14:textId="77777777" w:rsidR="007B59D9" w:rsidRDefault="00B33EEA" w:rsidP="00D70D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Board.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1953"/>
        <w:gridCol w:w="1796"/>
        <w:gridCol w:w="2364"/>
        <w:gridCol w:w="2413"/>
      </w:tblGrid>
      <w:tr w:rsidR="007B59D9" w14:paraId="2F31B83F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FE8B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F615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6FF0F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3A6D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5198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7B59D9" w14:paraId="1213E4F0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61F0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319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Dao Ngoc Thanh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4DE45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FDF4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6457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</w:tr>
      <w:tr w:rsidR="007B59D9" w14:paraId="290AB5FF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28496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5273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Thi Van Anh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E2FB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944F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693A3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Law, English Language</w:t>
            </w:r>
          </w:p>
        </w:tc>
      </w:tr>
      <w:tr w:rsidR="007B59D9" w14:paraId="6729D7DB" w14:textId="77777777">
        <w:tc>
          <w:tcPr>
            <w:tcW w:w="4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D30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16447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Nhu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Van Nguyen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0C75D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3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D373E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D142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State Management</w:t>
            </w:r>
          </w:p>
        </w:tc>
      </w:tr>
    </w:tbl>
    <w:p w14:paraId="4B4ACA4B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9017" w:type="dxa"/>
        <w:tblLayout w:type="fixed"/>
        <w:tblLook w:val="0400" w:firstRow="0" w:lastRow="0" w:firstColumn="0" w:lastColumn="0" w:noHBand="0" w:noVBand="1"/>
      </w:tblPr>
      <w:tblGrid>
        <w:gridCol w:w="516"/>
        <w:gridCol w:w="2703"/>
        <w:gridCol w:w="249"/>
        <w:gridCol w:w="1160"/>
        <w:gridCol w:w="2319"/>
        <w:gridCol w:w="2070"/>
      </w:tblGrid>
      <w:tr w:rsidR="00D70DE9" w14:paraId="627B0DD9" w14:textId="77777777" w:rsidTr="005B2B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F8201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51623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F1129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22091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8503E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appointment/dismissal </w:t>
            </w:r>
          </w:p>
        </w:tc>
      </w:tr>
      <w:tr w:rsidR="00D70DE9" w14:paraId="5E84C6D4" w14:textId="77777777" w:rsidTr="00D70DE9">
        <w:trPr>
          <w:trHeight w:val="3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F27EF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BE131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B0DF6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15, 1972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36531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Marine transportation economics Engineer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AF98F" w14:textId="77777777" w:rsidR="00D70DE9" w:rsidRDefault="00D70DE9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0DE9" w14:paraId="37AA3860" w14:textId="77777777" w:rsidTr="007C305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C91BA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F56D4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Tat Dat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2B6B8" w14:textId="77777777" w:rsidR="00D70DE9" w:rsidRDefault="00D70DE9" w:rsidP="00D70DE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8710F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23, 1976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61979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Marine transportation economics Engineer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A83AD" w14:textId="77777777" w:rsidR="00D70DE9" w:rsidRDefault="00D70DE9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7, 2021</w:t>
            </w:r>
          </w:p>
        </w:tc>
      </w:tr>
    </w:tbl>
    <w:p w14:paraId="23190E83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Layout w:type="fixed"/>
        <w:tblLook w:val="0400" w:firstRow="0" w:lastRow="0" w:firstColumn="0" w:lastColumn="0" w:noHBand="0" w:noVBand="1"/>
      </w:tblPr>
      <w:tblGrid>
        <w:gridCol w:w="2312"/>
        <w:gridCol w:w="1681"/>
        <w:gridCol w:w="2501"/>
        <w:gridCol w:w="2523"/>
      </w:tblGrid>
      <w:tr w:rsidR="007B59D9" w14:paraId="0154C924" w14:textId="77777777"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E8B1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9A5A0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3C98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76184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7B59D9" w14:paraId="494DB121" w14:textId="7777777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528CB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ACEDC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5, 1970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EAE78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7F9FA" w14:textId="77777777" w:rsidR="007B59D9" w:rsidRDefault="00B33EEA" w:rsidP="00D70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2020</w:t>
            </w:r>
          </w:p>
        </w:tc>
      </w:tr>
    </w:tbl>
    <w:p w14:paraId="0D8C2D87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None.</w:t>
      </w:r>
    </w:p>
    <w:p w14:paraId="55BB4858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affiliated persons of the Company in 2023 and transactions between affiliated persons of the Company and the Company itself</w:t>
      </w:r>
    </w:p>
    <w:p w14:paraId="1BEE7219" w14:textId="77777777" w:rsidR="007B59D9" w:rsidRDefault="00B33EEA" w:rsidP="00D70D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the Company and affiliated persons of the Company, or between the Company and majority shareholders,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</w:p>
    <w:p w14:paraId="259BFB6E" w14:textId="77777777" w:rsidR="007B59D9" w:rsidRDefault="00B33EEA" w:rsidP="00D70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Port of Hai Phong Joint Stock Company:</w:t>
      </w:r>
    </w:p>
    <w:p w14:paraId="6C097656" w14:textId="77777777" w:rsidR="007B59D9" w:rsidRDefault="00B33EEA" w:rsidP="00D70D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Freight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40,397,630,409 Including: Contract on providing support services, towing, escorting, and transport barges, cargo handling; Contract on </w:t>
      </w:r>
      <w:proofErr w:type="spellStart"/>
      <w:r>
        <w:rPr>
          <w:rFonts w:ascii="Arial" w:hAnsi="Arial"/>
          <w:color w:val="010000"/>
          <w:sz w:val="20"/>
        </w:rPr>
        <w:t>watchkeeping</w:t>
      </w:r>
      <w:proofErr w:type="spellEnd"/>
      <w:r>
        <w:rPr>
          <w:rFonts w:ascii="Arial" w:hAnsi="Arial"/>
          <w:color w:val="010000"/>
          <w:sz w:val="20"/>
        </w:rPr>
        <w:t xml:space="preserve">, protecting, and collaborating to exploit Bach Dang anchor buoy; Contract on preventing and responding to oil spills at Port Bridge of Chua </w:t>
      </w:r>
      <w:proofErr w:type="spellStart"/>
      <w:r>
        <w:rPr>
          <w:rFonts w:ascii="Arial" w:hAnsi="Arial"/>
          <w:color w:val="010000"/>
          <w:sz w:val="20"/>
        </w:rPr>
        <w:t>Ve</w:t>
      </w:r>
      <w:proofErr w:type="spellEnd"/>
      <w:r>
        <w:rPr>
          <w:rFonts w:ascii="Arial" w:hAnsi="Arial"/>
          <w:color w:val="010000"/>
          <w:sz w:val="20"/>
        </w:rPr>
        <w:t xml:space="preserve"> Port, Tan Vu Port Branch, the area of the Bach Dang anchor, the floating buoy area of Ben Got; Cooperation contract on operating </w:t>
      </w:r>
      <w:proofErr w:type="spellStart"/>
      <w:r>
        <w:rPr>
          <w:rFonts w:ascii="Arial" w:hAnsi="Arial"/>
          <w:color w:val="010000"/>
          <w:sz w:val="20"/>
        </w:rPr>
        <w:t>Lan</w:t>
      </w:r>
      <w:proofErr w:type="spellEnd"/>
      <w:r>
        <w:rPr>
          <w:rFonts w:ascii="Arial" w:hAnsi="Arial"/>
          <w:color w:val="010000"/>
          <w:sz w:val="20"/>
        </w:rPr>
        <w:t xml:space="preserve"> Ha Bay anchor zone; Contract on renting cars.</w:t>
      </w:r>
    </w:p>
    <w:p w14:paraId="420DB71B" w14:textId="77777777" w:rsidR="007B59D9" w:rsidRDefault="00B33EEA" w:rsidP="00D70D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Payment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6,756,366,157 Including: Contract on providing electricity and clean water; Contract on providing tugboat rental.</w:t>
      </w:r>
    </w:p>
    <w:p w14:paraId="23365603" w14:textId="77777777" w:rsidR="007B59D9" w:rsidRDefault="00B33EEA" w:rsidP="00D70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Hoang Dieu Port One Member Limited Company</w:t>
      </w:r>
    </w:p>
    <w:p w14:paraId="768E6456" w14:textId="77777777" w:rsidR="007B59D9" w:rsidRDefault="00B33EEA" w:rsidP="00D70D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Freight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9,578,151,287 Including: Contract on providing all support, towing, and escorting services for ships entering and exiting Hoang Dieu Port; Contract on preventing and responding to oil spills at Hoang Dieu Port Bridge; Contract on loading and unloading, delivering and preserving exported goods through Hoang Dieu Port and other services in Port's production line.</w:t>
      </w:r>
    </w:p>
    <w:p w14:paraId="4FAC40BC" w14:textId="77777777" w:rsidR="007B59D9" w:rsidRDefault="00B33EEA" w:rsidP="00D70D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Payment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387,941,200 Including: Contract on providing electricity; Contract on loading, unloading and storing.</w:t>
      </w:r>
    </w:p>
    <w:p w14:paraId="1E3C5220" w14:textId="77777777" w:rsidR="007B59D9" w:rsidRDefault="00B33EEA" w:rsidP="00D70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DinhVu</w:t>
      </w:r>
      <w:proofErr w:type="spellEnd"/>
      <w:r>
        <w:rPr>
          <w:rFonts w:ascii="Arial" w:hAnsi="Arial"/>
          <w:color w:val="010000"/>
          <w:sz w:val="20"/>
        </w:rPr>
        <w:t xml:space="preserve"> Port Investment &amp; Development Joint Stock Company</w:t>
      </w:r>
    </w:p>
    <w:p w14:paraId="0B2769B3" w14:textId="77777777" w:rsidR="007B59D9" w:rsidRDefault="00B33EEA" w:rsidP="00D70D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Freight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1,571,250,000 Including: Service contract on providing towing services to support ships arriving/departing from Dinh Vu Port; Contract on using standby vehicles at Dinh Vu Port or Tan Vu Port to serve oil spill response work at Dinh Vu Port.</w:t>
      </w:r>
    </w:p>
    <w:p w14:paraId="020EA3DD" w14:textId="77777777" w:rsidR="007B59D9" w:rsidRDefault="00B33EEA" w:rsidP="00D70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Hai Phong Port Medical Center One Member Limited Company.</w:t>
      </w:r>
    </w:p>
    <w:p w14:paraId="06B112BB" w14:textId="77777777" w:rsidR="007B59D9" w:rsidRDefault="00B33EEA" w:rsidP="00D70D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Payment Contract: Total transaction value (Value added tax excluded):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50,424,000 Including: Contract on providing medical services.</w:t>
      </w:r>
    </w:p>
    <w:p w14:paraId="52284150" w14:textId="77777777" w:rsidR="007B59D9" w:rsidRDefault="00B33EEA" w:rsidP="00D70D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,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subsidiaries or companies controlled by the Company: None.</w:t>
      </w:r>
    </w:p>
    <w:p w14:paraId="6D5E7F6E" w14:textId="77777777" w:rsidR="007B59D9" w:rsidRDefault="00B33EEA" w:rsidP="00D70D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5D4B86A9" w14:textId="77777777" w:rsidR="007B59D9" w:rsidRDefault="00B33EEA" w:rsidP="00D70D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in 2023:</w:t>
      </w:r>
    </w:p>
    <w:p w14:paraId="3579EA38" w14:textId="77777777" w:rsidR="007B59D9" w:rsidRDefault="00B33EEA" w:rsidP="00D70D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None.</w:t>
      </w:r>
    </w:p>
    <w:p w14:paraId="2AE80C54" w14:textId="2DA131B2" w:rsidR="007B59D9" w:rsidRPr="00D70DE9" w:rsidRDefault="00B33EEA" w:rsidP="00D70DE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mallCap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significant issues: None </w:t>
      </w:r>
    </w:p>
    <w:sectPr w:rsidR="007B59D9" w:rsidRPr="00D70DE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2938"/>
    <w:multiLevelType w:val="multilevel"/>
    <w:tmpl w:val="02B2C71C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730896"/>
    <w:multiLevelType w:val="multilevel"/>
    <w:tmpl w:val="182A8BEE"/>
    <w:lvl w:ilvl="0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795"/>
    <w:multiLevelType w:val="multilevel"/>
    <w:tmpl w:val="2A349A6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D13C98"/>
    <w:multiLevelType w:val="multilevel"/>
    <w:tmpl w:val="B33ED460"/>
    <w:lvl w:ilvl="0">
      <w:start w:val="1"/>
      <w:numFmt w:val="lowerLetter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BA69C8"/>
    <w:multiLevelType w:val="multilevel"/>
    <w:tmpl w:val="D6AAF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614055"/>
    <w:multiLevelType w:val="multilevel"/>
    <w:tmpl w:val="6AE0992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2C7A29"/>
    <w:multiLevelType w:val="multilevel"/>
    <w:tmpl w:val="70946A44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213FA6"/>
    <w:multiLevelType w:val="multilevel"/>
    <w:tmpl w:val="F3F8FB5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E561D"/>
    <w:multiLevelType w:val="multilevel"/>
    <w:tmpl w:val="AEA8D916"/>
    <w:lvl w:ilvl="0">
      <w:start w:val="1"/>
      <w:numFmt w:val="decimal"/>
      <w:lvlText w:val="%1"/>
      <w:lvlJc w:val="left"/>
      <w:pPr>
        <w:ind w:left="826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54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66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9"/>
    <w:rsid w:val="001000AA"/>
    <w:rsid w:val="00631016"/>
    <w:rsid w:val="00645CE0"/>
    <w:rsid w:val="007B59D9"/>
    <w:rsid w:val="00B33EEA"/>
    <w:rsid w:val="00C34B24"/>
    <w:rsid w:val="00D70DE9"/>
    <w:rsid w:val="00D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4FFF"/>
  <w15:docId w15:val="{CBFC7DCD-9E99-4836-9862-65AD16B9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A5D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/>
      <w:strike w:val="0"/>
      <w:color w:val="CE5D74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/>
      <w:strike w:val="0"/>
      <w:color w:val="CE5D74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960"/>
      <w:outlineLvl w:val="0"/>
    </w:pPr>
    <w:rPr>
      <w:rFonts w:ascii="Times New Roman" w:eastAsia="Times New Roman" w:hAnsi="Times New Roman" w:cs="Times New Roman"/>
      <w:b/>
      <w:bCs/>
      <w:color w:val="575A5D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Arial" w:eastAsia="Arial" w:hAnsi="Arial" w:cs="Arial"/>
      <w:smallCaps/>
      <w:color w:val="CE5D74"/>
      <w:sz w:val="28"/>
      <w:szCs w:val="28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smallCaps/>
      <w:color w:val="CE5D74"/>
      <w:sz w:val="28"/>
      <w:szCs w:val="28"/>
    </w:rPr>
  </w:style>
  <w:style w:type="table" w:styleId="TableGrid">
    <w:name w:val="Table Grid"/>
    <w:basedOn w:val="TableNormal"/>
    <w:uiPriority w:val="39"/>
    <w:rsid w:val="00F12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0yFl4jxXUObqT4kX5PDzRuiIQ==">CgMxLjA4AHIhMTZDWXNlamh2eUJKczQydWVrU3NRRXFUNmsxTUNTbFZv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FPTSHOP</dc:creator>
  <cp:lastModifiedBy>Nguyen Thi Thu Giang</cp:lastModifiedBy>
  <cp:revision>2</cp:revision>
  <dcterms:created xsi:type="dcterms:W3CDTF">2024-01-29T04:17:00Z</dcterms:created>
  <dcterms:modified xsi:type="dcterms:W3CDTF">2024-01-29T04:17:00Z</dcterms:modified>
</cp:coreProperties>
</file>