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9FAE" w14:textId="77777777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UDJ: Annual Corporate Governance Report 2023</w:t>
      </w:r>
    </w:p>
    <w:p w14:paraId="3587A9C2" w14:textId="77777777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24, 2024, </w:t>
      </w:r>
      <w:proofErr w:type="spellStart"/>
      <w:r>
        <w:rPr>
          <w:rFonts w:ascii="Arial" w:hAnsi="Arial"/>
          <w:color w:val="010000"/>
          <w:sz w:val="20"/>
        </w:rPr>
        <w:t>Becamex</w:t>
      </w:r>
      <w:proofErr w:type="spellEnd"/>
      <w:r>
        <w:rPr>
          <w:rFonts w:ascii="Arial" w:hAnsi="Arial"/>
          <w:color w:val="010000"/>
          <w:sz w:val="20"/>
        </w:rPr>
        <w:t xml:space="preserve"> Urban Development JSC announced Report No. 01/BC/JDQT-UDJ/2024 on the corporate governance in 2023 as follows: </w:t>
      </w:r>
    </w:p>
    <w:p w14:paraId="30883F42" w14:textId="77777777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Company's name: </w:t>
      </w:r>
      <w:proofErr w:type="spellStart"/>
      <w:r>
        <w:rPr>
          <w:rFonts w:ascii="Arial" w:hAnsi="Arial"/>
          <w:color w:val="010000"/>
          <w:sz w:val="20"/>
        </w:rPr>
        <w:t>Becamex</w:t>
      </w:r>
      <w:proofErr w:type="spellEnd"/>
      <w:r>
        <w:rPr>
          <w:rFonts w:ascii="Arial" w:hAnsi="Arial"/>
          <w:color w:val="010000"/>
          <w:sz w:val="20"/>
        </w:rPr>
        <w:t xml:space="preserve"> Urban Development JSC</w:t>
      </w:r>
    </w:p>
    <w:p w14:paraId="75EFA143" w14:textId="5DB532D1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Address of Head office:</w:t>
      </w:r>
      <w:r>
        <w:rPr>
          <w:rFonts w:ascii="Arial" w:hAnsi="Arial"/>
          <w:color w:val="010000"/>
          <w:sz w:val="20"/>
        </w:rPr>
        <w:t xml:space="preserve"> C1-2-3, </w:t>
      </w:r>
      <w:r w:rsidR="00992142">
        <w:rPr>
          <w:rFonts w:ascii="Arial" w:hAnsi="Arial"/>
          <w:color w:val="010000"/>
          <w:sz w:val="20"/>
        </w:rPr>
        <w:t>Provincial Highway 6</w:t>
      </w:r>
      <w:r>
        <w:rPr>
          <w:rFonts w:ascii="Arial" w:hAnsi="Arial"/>
          <w:color w:val="010000"/>
          <w:sz w:val="20"/>
        </w:rPr>
        <w:t xml:space="preserve">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Duong industrial and service complex,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Ward, Thu </w:t>
      </w:r>
      <w:proofErr w:type="spellStart"/>
      <w:r>
        <w:rPr>
          <w:rFonts w:ascii="Arial" w:hAnsi="Arial"/>
          <w:color w:val="010000"/>
          <w:sz w:val="20"/>
        </w:rPr>
        <w:t>Dau</w:t>
      </w:r>
      <w:proofErr w:type="spellEnd"/>
      <w:r>
        <w:rPr>
          <w:rFonts w:ascii="Arial" w:hAnsi="Arial"/>
          <w:color w:val="010000"/>
          <w:sz w:val="20"/>
        </w:rPr>
        <w:t xml:space="preserve"> Mot City,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Duong Province </w:t>
      </w:r>
    </w:p>
    <w:p w14:paraId="050A82D3" w14:textId="77777777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tabs>
          <w:tab w:val="left" w:pos="3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0274.3816681 Fax: 0274.3816655 Email: </w:t>
      </w:r>
      <w:hyperlink r:id="rId6">
        <w:r>
          <w:rPr>
            <w:rFonts w:ascii="Arial" w:hAnsi="Arial"/>
            <w:color w:val="010000"/>
            <w:sz w:val="20"/>
          </w:rPr>
          <w:t>becamexudi</w:t>
        </w:r>
      </w:hyperlink>
      <w:hyperlink r:id="rId7">
        <w:r>
          <w:rPr>
            <w:rFonts w:ascii="Arial" w:hAnsi="Arial"/>
            <w:color w:val="010000"/>
            <w:sz w:val="20"/>
          </w:rPr>
          <w:t>@gmail.com</w:t>
        </w:r>
      </w:hyperlink>
    </w:p>
    <w:p w14:paraId="7F499950" w14:textId="77777777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165,000,000,000</w:t>
      </w:r>
    </w:p>
    <w:p w14:paraId="458B88E6" w14:textId="77777777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 UDJ</w:t>
      </w:r>
    </w:p>
    <w:p w14:paraId="150FBCB2" w14:textId="258E16CF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992142">
        <w:rPr>
          <w:rFonts w:ascii="Arial" w:hAnsi="Arial"/>
          <w:color w:val="010000"/>
          <w:sz w:val="20"/>
        </w:rPr>
        <w:t xml:space="preserve">General Meeting, </w:t>
      </w:r>
      <w:r>
        <w:rPr>
          <w:rFonts w:ascii="Arial" w:hAnsi="Arial"/>
          <w:color w:val="010000"/>
          <w:sz w:val="20"/>
        </w:rPr>
        <w:t>Board of Directors,</w:t>
      </w:r>
      <w:r w:rsidR="00992142">
        <w:rPr>
          <w:rFonts w:ascii="Arial" w:hAnsi="Arial"/>
          <w:color w:val="010000"/>
          <w:sz w:val="20"/>
        </w:rPr>
        <w:t xml:space="preserve"> Supervisory Board and Managing Director</w:t>
      </w:r>
    </w:p>
    <w:p w14:paraId="17C6A3AD" w14:textId="77777777" w:rsidR="00FB7D39" w:rsidRDefault="00F16B17" w:rsidP="009921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of the internal audit funct</w:t>
      </w:r>
      <w:r>
        <w:rPr>
          <w:rFonts w:ascii="Arial" w:hAnsi="Arial"/>
          <w:color w:val="010000"/>
          <w:sz w:val="20"/>
        </w:rPr>
        <w:t>ion: Unimplemented</w:t>
      </w:r>
    </w:p>
    <w:p w14:paraId="3A81E15D" w14:textId="79EFA9B3" w:rsidR="00FB7D39" w:rsidRDefault="00F16B17" w:rsidP="009921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9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99214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238"/>
        <w:gridCol w:w="1622"/>
        <w:gridCol w:w="4522"/>
      </w:tblGrid>
      <w:tr w:rsidR="00FB7D39" w14:paraId="34A24650" w14:textId="77777777" w:rsidTr="00992142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F8B7F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75165" w14:textId="508490BD" w:rsidR="00FB7D39" w:rsidRDefault="00F16B17" w:rsidP="009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Mandates/Decisions of the </w:t>
            </w:r>
            <w:r w:rsidR="00992142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1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A436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ate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839E7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FB7D39" w14:paraId="7BC01E14" w14:textId="77777777" w:rsidTr="00992142">
        <w:tc>
          <w:tcPr>
            <w:tcW w:w="6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02B20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35013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01/NQ/DHDCD/2023</w:t>
            </w:r>
          </w:p>
        </w:tc>
        <w:tc>
          <w:tcPr>
            <w:tcW w:w="1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3E6D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4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97A28" w14:textId="64CD78DF" w:rsidR="00FB7D39" w:rsidRDefault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2BE99F64" w14:textId="77777777" w:rsidR="00FB7D39" w:rsidRDefault="00F16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Board of Directors:</w:t>
      </w:r>
    </w:p>
    <w:p w14:paraId="3C949100" w14:textId="77777777" w:rsidR="00FB7D39" w:rsidRDefault="00F16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members of the Board of Directors: </w:t>
      </w:r>
    </w:p>
    <w:p w14:paraId="2A8B8664" w14:textId="77777777" w:rsidR="00FB7D39" w:rsidRDefault="00F16B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1 Information about members of the Board of Directors:</w:t>
      </w:r>
    </w:p>
    <w:tbl>
      <w:tblPr>
        <w:tblStyle w:val="a1"/>
        <w:tblW w:w="9017" w:type="dxa"/>
        <w:tblLayout w:type="fixed"/>
        <w:tblLook w:val="0000" w:firstRow="0" w:lastRow="0" w:firstColumn="0" w:lastColumn="0" w:noHBand="0" w:noVBand="0"/>
      </w:tblPr>
      <w:tblGrid>
        <w:gridCol w:w="696"/>
        <w:gridCol w:w="2819"/>
        <w:gridCol w:w="1582"/>
        <w:gridCol w:w="1940"/>
        <w:gridCol w:w="1980"/>
      </w:tblGrid>
      <w:tr w:rsidR="00FB7D39" w14:paraId="424FDC5A" w14:textId="77777777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F788E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0AB56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9F49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members of the Board of Directors, non-executive members of the Board of Directors)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8D92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FB7D39" w14:paraId="1CA5C75F" w14:textId="77777777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5361A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928EA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34597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18E9E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9184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FB7D39" w14:paraId="495AD17C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E3DFD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CC869" w14:textId="5713F0AC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Minh Dong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1322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Chair of the Board of Directors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D92A8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FE902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7D39" w14:paraId="0E8AFC3B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3612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21C16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Mr. Quang Van Viet Cuong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E4D3A" w14:textId="77959B1E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Vice Chair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 of Directors (Non-executive)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58BD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21,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3059B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7D39" w14:paraId="5FE7BFD6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B0CA6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0EC0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Mr. Huynh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ECA60" w14:textId="3B804085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6805E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77887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7D39" w14:paraId="07CBDF5D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76B0E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2CAA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Quang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56F5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(Non-executive)</w:t>
            </w:r>
          </w:p>
          <w:p w14:paraId="6D3C398F" w14:textId="7230284A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91990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67178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7D39" w14:paraId="64D39FDD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4B34D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F538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Viet Yen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3877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  <w:p w14:paraId="63805643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A427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4F8A4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7D39" w14:paraId="3E93960A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8DDE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5504A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Mr. Le Duc Thinh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6064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(Non-executive)</w:t>
            </w:r>
          </w:p>
          <w:p w14:paraId="1A5B4150" w14:textId="6DBCD55C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54F0A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5F638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</w:tr>
    </w:tbl>
    <w:p w14:paraId="3EEFD35A" w14:textId="77777777" w:rsidR="00FB7D39" w:rsidRDefault="00F16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233"/>
        <w:gridCol w:w="1336"/>
        <w:gridCol w:w="4765"/>
      </w:tblGrid>
      <w:tr w:rsidR="00FB7D39" w14:paraId="62E8EC2B" w14:textId="77777777">
        <w:tc>
          <w:tcPr>
            <w:tcW w:w="6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BF5BF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F4FE4" w14:textId="4853D196" w:rsidR="00FB7D39" w:rsidRDefault="00F16B17" w:rsidP="009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Decision 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8BDD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ate</w:t>
            </w:r>
          </w:p>
        </w:tc>
        <w:tc>
          <w:tcPr>
            <w:tcW w:w="47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6A23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FB7D39" w14:paraId="1125622C" w14:textId="77777777">
        <w:tc>
          <w:tcPr>
            <w:tcW w:w="6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9261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646AD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01/NQ-HDQT/2023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20EE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10, 2023</w:t>
            </w:r>
          </w:p>
        </w:tc>
        <w:tc>
          <w:tcPr>
            <w:tcW w:w="47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356C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actual construction value at land lots F5, F6 (Green Pearl)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Industrial-Service-Investment Complex, transferred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Becamex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IDC Corp</w:t>
            </w:r>
          </w:p>
        </w:tc>
      </w:tr>
      <w:tr w:rsidR="00FB7D39" w14:paraId="342815D7" w14:textId="77777777">
        <w:tc>
          <w:tcPr>
            <w:tcW w:w="6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3DCEB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F0047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02/NQ-HDQT/2023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AACFD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47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B2FDC" w14:textId="33CBFC28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plan on holding the Annual </w:t>
            </w:r>
            <w:r w:rsidR="0099214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FB7D39" w14:paraId="4DDF5A9F" w14:textId="77777777">
        <w:tc>
          <w:tcPr>
            <w:tcW w:w="6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AA9F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6CF1A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03/NQ-HDQT/2023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4140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47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03D7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business results in 2022 and the business plan for 2023.</w:t>
            </w:r>
          </w:p>
          <w:p w14:paraId="3E729C34" w14:textId="022A855D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items and basic contents of draft documents for the Annual </w:t>
            </w:r>
            <w:r w:rsidR="0099214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FB7D39" w14:paraId="233785C7" w14:textId="7777777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4568A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89845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04/NQ-HDQT/2023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64204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06, 2023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F811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the estimated production and business results in 2023 and the business plan for 2024.</w:t>
            </w:r>
          </w:p>
        </w:tc>
      </w:tr>
      <w:tr w:rsidR="00FB7D39" w14:paraId="26A07C16" w14:textId="7777777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3EF0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66B57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01/QD-HDQT/2023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0A31F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ED724" w14:textId="3BBA324E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Convene the Annual </w:t>
            </w:r>
            <w:r w:rsidR="0099214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FB7D39" w14:paraId="03E6A00E" w14:textId="7777777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52324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22367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02/QD-HDQT/2023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4DBB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CF4C3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 payment for members of the Board of Directors, the Supervisory Board and the Secretariat</w:t>
            </w:r>
          </w:p>
        </w:tc>
      </w:tr>
      <w:tr w:rsidR="00FB7D39" w14:paraId="57BBEE6B" w14:textId="7777777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6E9F0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9868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03/QD-HDQT/2023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A1FC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19, 2023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16351" w14:textId="1B3E4DEE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  <w:r w:rsidR="00992142">
              <w:rPr>
                <w:rFonts w:ascii="Arial" w:hAnsi="Arial"/>
                <w:color w:val="010000"/>
                <w:sz w:val="20"/>
              </w:rPr>
              <w:t xml:space="preserve"> in</w:t>
            </w:r>
            <w:r>
              <w:rPr>
                <w:rFonts w:ascii="Arial" w:hAnsi="Arial"/>
                <w:color w:val="010000"/>
                <w:sz w:val="20"/>
              </w:rPr>
              <w:t xml:space="preserve"> 2022 </w:t>
            </w:r>
          </w:p>
        </w:tc>
      </w:tr>
    </w:tbl>
    <w:p w14:paraId="5FB67076" w14:textId="762FA545" w:rsidR="00FB7D39" w:rsidRDefault="00F16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14:paraId="750546CA" w14:textId="77777777" w:rsidR="00FB7D39" w:rsidRDefault="00F16B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564"/>
        <w:gridCol w:w="1832"/>
        <w:gridCol w:w="2121"/>
        <w:gridCol w:w="1812"/>
      </w:tblGrid>
      <w:tr w:rsidR="00FB7D39" w14:paraId="79F06DB2" w14:textId="77777777">
        <w:tc>
          <w:tcPr>
            <w:tcW w:w="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9B11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C7794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464FF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36A9E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E2363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FB7D39" w14:paraId="41912F50" w14:textId="77777777">
        <w:tc>
          <w:tcPr>
            <w:tcW w:w="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D329D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B68B4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Hai Hoang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CC006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F589B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71584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Finance</w:t>
            </w:r>
          </w:p>
        </w:tc>
      </w:tr>
      <w:tr w:rsidR="00FB7D39" w14:paraId="12F7A61E" w14:textId="77777777">
        <w:tc>
          <w:tcPr>
            <w:tcW w:w="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0D90A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351B0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Thuy Duong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1ACEB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3A75D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2017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85528" w14:textId="2CBF6479" w:rsidR="00FB7D39" w:rsidRDefault="009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F16B17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FB7D39" w14:paraId="3F276AD4" w14:textId="77777777">
        <w:tc>
          <w:tcPr>
            <w:tcW w:w="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C846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0ED9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Huynh Thi Que Anh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68E5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FA86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2017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D2B00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</w:tr>
    </w:tbl>
    <w:p w14:paraId="663A19F6" w14:textId="5A38DBB2" w:rsidR="00FB7D39" w:rsidRDefault="00F16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Board:</w:t>
      </w:r>
    </w:p>
    <w:tbl>
      <w:tblPr>
        <w:tblStyle w:val="a4"/>
        <w:tblW w:w="9017" w:type="dxa"/>
        <w:tblLayout w:type="fixed"/>
        <w:tblLook w:val="0000" w:firstRow="0" w:lastRow="0" w:firstColumn="0" w:lastColumn="0" w:noHBand="0" w:noVBand="0"/>
      </w:tblPr>
      <w:tblGrid>
        <w:gridCol w:w="682"/>
        <w:gridCol w:w="1955"/>
        <w:gridCol w:w="1371"/>
        <w:gridCol w:w="1940"/>
        <w:gridCol w:w="1556"/>
        <w:gridCol w:w="1513"/>
      </w:tblGrid>
      <w:tr w:rsidR="00FB7D39" w14:paraId="33B64F72" w14:textId="77777777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2CF20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0F9E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F253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7285C" w14:textId="0DFEFA24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41F6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FB7D39" w14:paraId="096E3007" w14:textId="77777777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2A0C0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DEBE0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EA93E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FAA8F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EED5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30D33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</w:t>
            </w:r>
          </w:p>
        </w:tc>
      </w:tr>
      <w:tr w:rsidR="00FB7D39" w14:paraId="241087A8" w14:textId="7777777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52F7E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BE266" w14:textId="498A0D3C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Huynh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Dat - </w:t>
            </w:r>
            <w:r w:rsidR="00992142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90C90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13, 1972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3E248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CA23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7414A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930EE5B" w14:textId="77777777" w:rsidR="00FB7D39" w:rsidRDefault="00F16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5"/>
        <w:tblW w:w="9017" w:type="dxa"/>
        <w:tblLayout w:type="fixed"/>
        <w:tblLook w:val="0000" w:firstRow="0" w:lastRow="0" w:firstColumn="0" w:lastColumn="0" w:noHBand="0" w:noVBand="0"/>
      </w:tblPr>
      <w:tblGrid>
        <w:gridCol w:w="2628"/>
        <w:gridCol w:w="1369"/>
        <w:gridCol w:w="1946"/>
        <w:gridCol w:w="1547"/>
        <w:gridCol w:w="1527"/>
      </w:tblGrid>
      <w:tr w:rsidR="00FB7D39" w14:paraId="402362CD" w14:textId="77777777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4E6FC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E27CA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94CD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5D9DA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 dismissal</w:t>
            </w:r>
          </w:p>
        </w:tc>
      </w:tr>
      <w:tr w:rsidR="00FB7D39" w14:paraId="5B96F532" w14:textId="77777777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22DD0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44827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0AD80" w14:textId="77777777" w:rsidR="00FB7D39" w:rsidRDefault="00FB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CDD37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F7F64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</w:t>
            </w:r>
          </w:p>
        </w:tc>
      </w:tr>
      <w:tr w:rsidR="00FB7D39" w14:paraId="040F854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95F26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Pham Van Khoa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4026F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26, 1975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E16B1" w14:textId="1A3831BD" w:rsidR="00FB7D39" w:rsidRDefault="009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F16B17">
              <w:rPr>
                <w:rFonts w:ascii="Arial" w:hAnsi="Arial"/>
                <w:color w:val="010000"/>
                <w:sz w:val="20"/>
              </w:rPr>
              <w:t xml:space="preserve"> Economics majoring in Accounting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97140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1, 2015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A5BC5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2781602" w14:textId="77777777" w:rsidR="00FB7D39" w:rsidRDefault="00F16B17" w:rsidP="00992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33F12D2F" w14:textId="14798D95" w:rsidR="00FB7D39" w:rsidRDefault="00F16B17" w:rsidP="0099214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List of </w:t>
      </w:r>
      <w:r w:rsidR="0099214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public company and transactions between </w:t>
      </w:r>
      <w:r w:rsidR="0099214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465F317A" w14:textId="2FA61915" w:rsidR="00FB7D39" w:rsidRDefault="00F16B17" w:rsidP="009921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99214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 a</w:t>
      </w:r>
      <w:r>
        <w:rPr>
          <w:rFonts w:ascii="Arial" w:hAnsi="Arial"/>
          <w:color w:val="010000"/>
          <w:sz w:val="20"/>
        </w:rPr>
        <w:t xml:space="preserve">nd </w:t>
      </w:r>
      <w:r w:rsidR="0099214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Appendix 2 attached.</w:t>
      </w:r>
    </w:p>
    <w:p w14:paraId="4CF9E126" w14:textId="7C8540DB" w:rsidR="00FB7D39" w:rsidRDefault="00F16B17" w:rsidP="009921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99214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</w:t>
      </w:r>
    </w:p>
    <w:p w14:paraId="293F41C1" w14:textId="77777777" w:rsidR="00FB7D39" w:rsidRDefault="00F16B17" w:rsidP="009921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7ACA3F82" w14:textId="348A0CA9" w:rsidR="00FB7D39" w:rsidRDefault="00F16B17" w:rsidP="009921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that </w:t>
      </w:r>
      <w:r w:rsidR="0099214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</w:t>
      </w:r>
      <w:r w:rsidR="00992142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992142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 xml:space="preserve"> and other managers </w:t>
      </w:r>
      <w:r w:rsidR="00992142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 xml:space="preserve">have been founding members </w:t>
      </w:r>
      <w:r w:rsidR="00992142">
        <w:rPr>
          <w:rFonts w:ascii="Arial" w:hAnsi="Arial"/>
          <w:color w:val="010000"/>
          <w:sz w:val="20"/>
        </w:rPr>
        <w:t>of the Board of Directors or</w:t>
      </w:r>
      <w:r>
        <w:rPr>
          <w:rFonts w:ascii="Arial" w:hAnsi="Arial"/>
          <w:color w:val="010000"/>
          <w:sz w:val="20"/>
        </w:rPr>
        <w:t xml:space="preserve"> </w:t>
      </w:r>
      <w:r w:rsidR="00992142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 xml:space="preserve"> for the past three (03) years (as at the </w:t>
      </w:r>
      <w:r w:rsidR="00992142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 None</w:t>
      </w:r>
    </w:p>
    <w:p w14:paraId="3BF3597C" w14:textId="0483E1A0" w:rsidR="00FB7D39" w:rsidRDefault="00F16B17" w:rsidP="009921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that the related persons of members of the Board of Direct</w:t>
      </w:r>
      <w:r w:rsidR="00992142">
        <w:rPr>
          <w:rFonts w:ascii="Arial" w:hAnsi="Arial"/>
          <w:color w:val="010000"/>
          <w:sz w:val="20"/>
        </w:rPr>
        <w:t>ors and Supervisory Board and Executive Manager:</w:t>
      </w:r>
      <w:r>
        <w:rPr>
          <w:rFonts w:ascii="Arial" w:hAnsi="Arial"/>
          <w:color w:val="010000"/>
          <w:sz w:val="20"/>
        </w:rPr>
        <w:t xml:space="preserve"> None</w:t>
      </w:r>
    </w:p>
    <w:p w14:paraId="01BCBC3F" w14:textId="6FFD4FD1" w:rsidR="00FB7D39" w:rsidRDefault="00F16B17" w:rsidP="009921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992142">
        <w:rPr>
          <w:rFonts w:ascii="Arial" w:hAnsi="Arial"/>
          <w:color w:val="010000"/>
          <w:sz w:val="20"/>
        </w:rPr>
        <w:t>rs of the Supervisory Board or</w:t>
      </w:r>
      <w:r>
        <w:rPr>
          <w:rFonts w:ascii="Arial" w:hAnsi="Arial"/>
          <w:color w:val="010000"/>
          <w:sz w:val="20"/>
        </w:rPr>
        <w:t xml:space="preserve"> </w:t>
      </w:r>
      <w:r w:rsidR="00992142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>: None</w:t>
      </w:r>
    </w:p>
    <w:p w14:paraId="408E7A54" w14:textId="3A26446B" w:rsidR="00FB7D39" w:rsidRDefault="00F16B17" w:rsidP="00992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PDMR’s </w:t>
      </w:r>
      <w:r w:rsidR="0099214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</w:t>
      </w:r>
    </w:p>
    <w:p w14:paraId="34F7C043" w14:textId="63BC26EA" w:rsidR="00FB7D39" w:rsidRDefault="00F16B17" w:rsidP="00992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99214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Company’s shares: None</w:t>
      </w:r>
    </w:p>
    <w:p w14:paraId="1F97895B" w14:textId="77777777" w:rsidR="00FB7D39" w:rsidRDefault="00F16B17" w:rsidP="00992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p w14:paraId="137D38AF" w14:textId="77777777" w:rsidR="00FB7D39" w:rsidRDefault="00F16B17" w:rsidP="00992142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Appendix 2:  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854"/>
        <w:gridCol w:w="724"/>
        <w:gridCol w:w="1016"/>
        <w:gridCol w:w="1192"/>
        <w:gridCol w:w="1088"/>
        <w:gridCol w:w="1088"/>
        <w:gridCol w:w="2099"/>
        <w:gridCol w:w="558"/>
      </w:tblGrid>
      <w:tr w:rsidR="00FB7D39" w14:paraId="5A0C21DF" w14:textId="77777777" w:rsidTr="00F16B17">
        <w:tc>
          <w:tcPr>
            <w:tcW w:w="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45622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937E8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individual/institution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2AC28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8B971" w14:textId="64A9BCFE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No., Date of issue, Place of issue of NSH</w:t>
            </w:r>
          </w:p>
        </w:tc>
        <w:tc>
          <w:tcPr>
            <w:tcW w:w="11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7599A" w14:textId="2D420FD3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Headquarters address/Contact address</w:t>
            </w:r>
          </w:p>
        </w:tc>
        <w:tc>
          <w:tcPr>
            <w:tcW w:w="1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546D4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1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B23B5" w14:textId="315C246C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Resolution/Board Decision No. approved</w:t>
            </w:r>
          </w:p>
        </w:tc>
        <w:tc>
          <w:tcPr>
            <w:tcW w:w="2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5B7C8" w14:textId="74DB4CA6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87C7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FB7D39" w14:paraId="788D9CF0" w14:textId="77777777" w:rsidTr="00F16B17">
        <w:tc>
          <w:tcPr>
            <w:tcW w:w="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C41C7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1C925" w14:textId="6FEC55BC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Becamex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IDC Corp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E84A7" w14:textId="3320A510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 xml:space="preserve"> shareholders,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Holding Company, related organization of PDMR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9A0DE" w14:textId="66700EE7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3700145020, March 16, 2021, Departmen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t for Planning and Investment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Province</w:t>
            </w:r>
          </w:p>
        </w:tc>
        <w:tc>
          <w:tcPr>
            <w:tcW w:w="11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D2023" w14:textId="71F63F9C" w:rsidR="00FB7D39" w:rsidRDefault="00F16B17" w:rsidP="009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No. 8, Hung Vuong </w:t>
            </w:r>
            <w:r w:rsidR="00992142">
              <w:rPr>
                <w:rFonts w:ascii="Arial" w:hAnsi="Arial"/>
                <w:color w:val="010000"/>
                <w:sz w:val="20"/>
              </w:rPr>
              <w:t>Road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Dau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Mot City,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</w:t>
            </w:r>
          </w:p>
        </w:tc>
        <w:tc>
          <w:tcPr>
            <w:tcW w:w="1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A6060" w14:textId="7B22AFA2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D</w:t>
            </w:r>
            <w:r w:rsidR="00992142">
              <w:rPr>
                <w:rFonts w:ascii="Arial" w:hAnsi="Arial"/>
                <w:color w:val="010000"/>
                <w:sz w:val="20"/>
              </w:rPr>
              <w:t>ecember 2</w:t>
            </w:r>
            <w:r>
              <w:rPr>
                <w:rFonts w:ascii="Arial" w:hAnsi="Arial"/>
                <w:color w:val="010000"/>
                <w:sz w:val="20"/>
              </w:rPr>
              <w:t>9, 2023</w:t>
            </w:r>
          </w:p>
        </w:tc>
        <w:tc>
          <w:tcPr>
            <w:tcW w:w="1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019CB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No. 04/NQ-HDQT/2022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dated July 26, 2022</w:t>
            </w:r>
          </w:p>
        </w:tc>
        <w:tc>
          <w:tcPr>
            <w:tcW w:w="2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18B45" w14:textId="6C78535F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Contract No. </w:t>
            </w:r>
            <w:r>
              <w:rPr>
                <w:rFonts w:ascii="Arial" w:hAnsi="Arial"/>
                <w:color w:val="010000"/>
                <w:sz w:val="20"/>
              </w:rPr>
              <w:t xml:space="preserve">28A/11/2023/HDTV/HD on November 28, 2023 on liquidating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receiving reimbursement for construction costs of Lake View project items</w:t>
            </w:r>
            <w:r>
              <w:rPr>
                <w:rFonts w:ascii="Arial" w:hAnsi="Arial"/>
                <w:color w:val="010000"/>
                <w:sz w:val="20"/>
              </w:rPr>
              <w:br/>
              <w:t>VND 50,670,142,936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891C9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7D39" w14:paraId="7A3C51B1" w14:textId="77777777" w:rsidTr="00F16B17">
        <w:tc>
          <w:tcPr>
            <w:tcW w:w="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AA9FB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7F9B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Becamex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International General Hospital Joint Stock Company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2F0B6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the Holding company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B64E2" w14:textId="4B4F1010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370221330; June 30, 2017, Department for Planning and Investment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Province</w:t>
            </w:r>
          </w:p>
        </w:tc>
        <w:tc>
          <w:tcPr>
            <w:tcW w:w="11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9E4E8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Go Cat Area, Lai Thieu Ward,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 Town,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Province</w:t>
            </w:r>
          </w:p>
        </w:tc>
        <w:tc>
          <w:tcPr>
            <w:tcW w:w="1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A5910" w14:textId="6EA11145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1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79122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31E23" w14:textId="5F2361C4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No. 696/2023/HD-KSK-BIH on February 24, 2024 on Health examination service fees</w:t>
            </w:r>
            <w:r>
              <w:rPr>
                <w:rFonts w:ascii="Arial" w:hAnsi="Arial"/>
                <w:color w:val="010000"/>
                <w:sz w:val="20"/>
              </w:rPr>
              <w:t xml:space="preserve"> for employees</w:t>
            </w:r>
            <w:r>
              <w:rPr>
                <w:rFonts w:ascii="Arial" w:hAnsi="Arial"/>
                <w:color w:val="010000"/>
                <w:sz w:val="20"/>
              </w:rPr>
              <w:br/>
              <w:t>VND 58,637,000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7E155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B7D39" w14:paraId="335AF515" w14:textId="77777777" w:rsidTr="00F16B17">
        <w:tc>
          <w:tcPr>
            <w:tcW w:w="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6EF0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108AB" w14:textId="6A5AECFF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 Nam Technology &amp; Telecommunication Joint Stock Company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642B6" w14:textId="2BB4E8B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</w:t>
            </w:r>
            <w:r>
              <w:rPr>
                <w:rFonts w:ascii="Arial" w:hAnsi="Arial"/>
                <w:color w:val="010000"/>
                <w:sz w:val="20"/>
              </w:rPr>
              <w:t>lated organization of PDMR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A41F8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3700861497;</w:t>
            </w:r>
          </w:p>
          <w:p w14:paraId="4D1198B1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10, 2017, Department for Planning and Investment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Province</w:t>
            </w:r>
          </w:p>
        </w:tc>
        <w:tc>
          <w:tcPr>
            <w:tcW w:w="11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B90B9" w14:textId="77777777" w:rsidR="00FB7D39" w:rsidRDefault="00F1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21 VSIP II, Street 1, Vietnam - Singapore Industrial Park II,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Mot,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Duong. </w:t>
            </w:r>
          </w:p>
        </w:tc>
        <w:tc>
          <w:tcPr>
            <w:tcW w:w="1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C503B" w14:textId="6CC3A57A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January 1, 2023 to December 31, 2023</w:t>
            </w:r>
          </w:p>
        </w:tc>
        <w:tc>
          <w:tcPr>
            <w:tcW w:w="1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EB68F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FD479" w14:textId="43049B9F" w:rsidR="00FB7D39" w:rsidRDefault="00F16B17" w:rsidP="00B8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No. 890/HDDV-VNTT on March 23, 2012 on Internet and phone service fees</w:t>
            </w:r>
            <w:r>
              <w:rPr>
                <w:rFonts w:ascii="Arial" w:hAnsi="Arial"/>
                <w:color w:val="010000"/>
                <w:sz w:val="20"/>
              </w:rPr>
              <w:br/>
              <w:t>VND 26,333,644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6E4F9" w14:textId="77777777" w:rsidR="00FB7D39" w:rsidRDefault="00FB7D3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378EB30" w14:textId="77777777" w:rsidR="00FB7D39" w:rsidRDefault="00FB7D39" w:rsidP="00B8475F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B7D39">
      <w:pgSz w:w="11907" w:h="16839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AD1"/>
    <w:multiLevelType w:val="multilevel"/>
    <w:tmpl w:val="52B680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A12FE0"/>
    <w:multiLevelType w:val="multilevel"/>
    <w:tmpl w:val="C512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9F0"/>
    <w:multiLevelType w:val="multilevel"/>
    <w:tmpl w:val="BCA6BC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C314C5"/>
    <w:multiLevelType w:val="multilevel"/>
    <w:tmpl w:val="E2D4740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FC7A47"/>
    <w:multiLevelType w:val="multilevel"/>
    <w:tmpl w:val="B25025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DF0410C"/>
    <w:multiLevelType w:val="multilevel"/>
    <w:tmpl w:val="64B4D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6E60"/>
    <w:multiLevelType w:val="multilevel"/>
    <w:tmpl w:val="452AB89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028A9"/>
    <w:multiLevelType w:val="multilevel"/>
    <w:tmpl w:val="495228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39"/>
    <w:rsid w:val="00992142"/>
    <w:rsid w:val="00B8475F"/>
    <w:rsid w:val="00F16B17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045D"/>
  <w15:docId w15:val="{6864FC2A-71E7-4812-ADCA-142C3F32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/>
      <w:iCs/>
      <w:smallCaps w:val="0"/>
      <w:strike w:val="0"/>
      <w:color w:val="CC0E24"/>
      <w:sz w:val="42"/>
      <w:szCs w:val="4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C0E24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C0E24"/>
      <w:sz w:val="36"/>
      <w:szCs w:val="3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C0E24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C0E24"/>
      <w:sz w:val="36"/>
      <w:szCs w:val="3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Normal"/>
    <w:link w:val="Bodytext7"/>
    <w:pPr>
      <w:jc w:val="right"/>
    </w:pPr>
    <w:rPr>
      <w:rFonts w:ascii="Arial" w:eastAsia="Arial" w:hAnsi="Arial" w:cs="Arial"/>
      <w:i/>
      <w:iCs/>
      <w:color w:val="CC0E24"/>
      <w:sz w:val="42"/>
      <w:szCs w:val="42"/>
    </w:rPr>
  </w:style>
  <w:style w:type="paragraph" w:customStyle="1" w:styleId="Bodytext40">
    <w:name w:val="Body text (4)"/>
    <w:basedOn w:val="Normal"/>
    <w:link w:val="Bodytext4"/>
    <w:pPr>
      <w:ind w:left="2200"/>
    </w:pPr>
    <w:rPr>
      <w:rFonts w:ascii="Times New Roman" w:eastAsia="Times New Roman" w:hAnsi="Times New Roman" w:cs="Times New Roman"/>
      <w:color w:val="CC0E24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line="202" w:lineRule="auto"/>
      <w:jc w:val="center"/>
    </w:pPr>
    <w:rPr>
      <w:rFonts w:ascii="Times New Roman" w:eastAsia="Times New Roman" w:hAnsi="Times New Roman" w:cs="Times New Roman"/>
      <w:color w:val="CC0E24"/>
      <w:sz w:val="36"/>
      <w:szCs w:val="36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6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left="4420"/>
    </w:pPr>
    <w:rPr>
      <w:rFonts w:ascii="Arial" w:eastAsia="Arial" w:hAnsi="Arial" w:cs="Arial"/>
      <w:color w:val="CC0E24"/>
      <w:sz w:val="20"/>
      <w:szCs w:val="20"/>
    </w:rPr>
  </w:style>
  <w:style w:type="paragraph" w:customStyle="1" w:styleId="Heading11">
    <w:name w:val="Heading #1"/>
    <w:basedOn w:val="Normal"/>
    <w:link w:val="Heading10"/>
    <w:pPr>
      <w:ind w:left="4320"/>
      <w:outlineLvl w:val="0"/>
    </w:pPr>
    <w:rPr>
      <w:rFonts w:ascii="Times New Roman" w:eastAsia="Times New Roman" w:hAnsi="Times New Roman" w:cs="Times New Roman"/>
      <w:color w:val="CC0E2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camexud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amexu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p20L23uxOMAIHl0++6M39RrMQ==">CgMxLjA4AHIhMUtUY0hEaEhEOWEtUHZvZE5haTNWQ0V1cGMtajdjOElG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2024-01-29T04:29:00Z</dcterms:created>
  <dcterms:modified xsi:type="dcterms:W3CDTF">2024-01-29T04:29:00Z</dcterms:modified>
</cp:coreProperties>
</file>