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BA103" w14:textId="77777777" w:rsidR="0052054A" w:rsidRDefault="00897695" w:rsidP="0089769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VES: Annual Corporate Governance Report 2023</w:t>
      </w:r>
    </w:p>
    <w:p w14:paraId="16ACC85C" w14:textId="77777777" w:rsidR="0052054A" w:rsidRDefault="00897695" w:rsidP="0089769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23, 2024, </w:t>
      </w:r>
      <w:proofErr w:type="spellStart"/>
      <w:r>
        <w:rPr>
          <w:rFonts w:ascii="Arial" w:hAnsi="Arial"/>
          <w:color w:val="010000"/>
          <w:sz w:val="20"/>
        </w:rPr>
        <w:t>Meca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Vneco</w:t>
      </w:r>
      <w:proofErr w:type="spellEnd"/>
      <w:r>
        <w:rPr>
          <w:rFonts w:ascii="Arial" w:hAnsi="Arial"/>
          <w:color w:val="010000"/>
          <w:sz w:val="20"/>
        </w:rPr>
        <w:t xml:space="preserve"> Investment and Electricity Construction Joint Stock Company announced Report No. 02/2024/BCQT-VES on the corporate governance of the Company in 2023 as follows: </w:t>
      </w:r>
    </w:p>
    <w:p w14:paraId="7D8F23D8" w14:textId="77777777" w:rsidR="0052054A" w:rsidRDefault="00897695" w:rsidP="0089769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Trading name: </w:t>
      </w:r>
      <w:proofErr w:type="spellStart"/>
      <w:r>
        <w:rPr>
          <w:rFonts w:ascii="Arial" w:hAnsi="Arial"/>
          <w:color w:val="010000"/>
          <w:sz w:val="20"/>
        </w:rPr>
        <w:t>Meca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Vneco</w:t>
      </w:r>
      <w:proofErr w:type="spellEnd"/>
      <w:r>
        <w:rPr>
          <w:rFonts w:ascii="Arial" w:hAnsi="Arial"/>
          <w:color w:val="010000"/>
          <w:sz w:val="20"/>
        </w:rPr>
        <w:t xml:space="preserve"> Investment and Electricity Construction Joint Stock Company</w:t>
      </w:r>
    </w:p>
    <w:p w14:paraId="775F1F09" w14:textId="53254A22" w:rsidR="0052054A" w:rsidRDefault="00897695" w:rsidP="0089769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Address: No. 740C Nguyen </w:t>
      </w:r>
      <w:proofErr w:type="spellStart"/>
      <w:r>
        <w:rPr>
          <w:rFonts w:ascii="Arial" w:hAnsi="Arial"/>
          <w:color w:val="010000"/>
          <w:sz w:val="20"/>
        </w:rPr>
        <w:t>Kiem</w:t>
      </w:r>
      <w:proofErr w:type="spellEnd"/>
      <w:r>
        <w:rPr>
          <w:rFonts w:ascii="Arial" w:hAnsi="Arial"/>
          <w:color w:val="010000"/>
          <w:sz w:val="20"/>
        </w:rPr>
        <w:t xml:space="preserve"> Road</w:t>
      </w:r>
      <w:r>
        <w:rPr>
          <w:rFonts w:ascii="Arial" w:hAnsi="Arial"/>
          <w:color w:val="010000"/>
          <w:sz w:val="20"/>
        </w:rPr>
        <w:t xml:space="preserve">, Ward 04, </w:t>
      </w:r>
      <w:proofErr w:type="spellStart"/>
      <w:r>
        <w:rPr>
          <w:rFonts w:ascii="Arial" w:hAnsi="Arial"/>
          <w:color w:val="010000"/>
          <w:sz w:val="20"/>
        </w:rPr>
        <w:t>Phu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Nhuan</w:t>
      </w:r>
      <w:proofErr w:type="spellEnd"/>
      <w:r>
        <w:rPr>
          <w:rFonts w:ascii="Arial" w:hAnsi="Arial"/>
          <w:color w:val="010000"/>
          <w:sz w:val="20"/>
        </w:rPr>
        <w:t xml:space="preserve"> District, Ho Chi Minh City.</w:t>
      </w:r>
    </w:p>
    <w:p w14:paraId="173688FE" w14:textId="77777777" w:rsidR="0052054A" w:rsidRDefault="00897695" w:rsidP="0089769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150,000,0000.000</w:t>
      </w:r>
    </w:p>
    <w:p w14:paraId="22324155" w14:textId="77777777" w:rsidR="0052054A" w:rsidRDefault="00897695" w:rsidP="0089769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Tel: 028 2253 8623 / 0985847484 Fax: 028 2253 8623</w:t>
      </w:r>
    </w:p>
    <w:p w14:paraId="7D01112C" w14:textId="77777777" w:rsidR="0052054A" w:rsidRDefault="00897695" w:rsidP="0089769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Email: </w:t>
      </w:r>
      <w:hyperlink r:id="rId6">
        <w:r>
          <w:rPr>
            <w:rFonts w:ascii="Arial" w:hAnsi="Arial"/>
            <w:color w:val="010000"/>
            <w:sz w:val="20"/>
          </w:rPr>
          <w:t>hoail277@gmail.com</w:t>
        </w:r>
      </w:hyperlink>
    </w:p>
    <w:p w14:paraId="2CFCC723" w14:textId="77777777" w:rsidR="0052054A" w:rsidRDefault="00897695" w:rsidP="0089769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Website: </w:t>
      </w:r>
      <w:hyperlink r:id="rId7">
        <w:r>
          <w:rPr>
            <w:rFonts w:ascii="Arial" w:hAnsi="Arial"/>
            <w:color w:val="010000"/>
            <w:sz w:val="20"/>
          </w:rPr>
          <w:t>www.mecavneco.com.vn</w:t>
        </w:r>
      </w:hyperlink>
    </w:p>
    <w:p w14:paraId="787050D2" w14:textId="77777777" w:rsidR="0052054A" w:rsidRDefault="00897695" w:rsidP="0089769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 (if any): VES</w:t>
      </w:r>
    </w:p>
    <w:p w14:paraId="07D97098" w14:textId="0D1DF3E6" w:rsidR="0052054A" w:rsidRDefault="00897695" w:rsidP="0089769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Corporate Governance Model: </w:t>
      </w:r>
      <w:r>
        <w:rPr>
          <w:rFonts w:ascii="Arial" w:hAnsi="Arial"/>
          <w:color w:val="010000"/>
          <w:sz w:val="20"/>
        </w:rPr>
        <w:t>The General Meeting</w:t>
      </w:r>
      <w:r>
        <w:rPr>
          <w:rFonts w:ascii="Arial" w:hAnsi="Arial"/>
          <w:color w:val="010000"/>
          <w:sz w:val="20"/>
        </w:rPr>
        <w:t>, Board of Directors, Supervisory Board and Executive Manager</w:t>
      </w:r>
      <w:r>
        <w:rPr>
          <w:rFonts w:ascii="Arial" w:hAnsi="Arial"/>
          <w:color w:val="010000"/>
          <w:sz w:val="20"/>
        </w:rPr>
        <w:t xml:space="preserve"> </w:t>
      </w:r>
    </w:p>
    <w:p w14:paraId="3BC124B3" w14:textId="77777777" w:rsidR="0052054A" w:rsidRDefault="00897695" w:rsidP="0089769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Implementation of the internal audit function:</w:t>
      </w:r>
    </w:p>
    <w:p w14:paraId="7BA9CAAE" w14:textId="77777777" w:rsidR="0052054A" w:rsidRDefault="00897695" w:rsidP="0089769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As per the Law on Securities, Circular No. 96/2020/TT-BTC dated November 16, 2020 of Ministry of Finance guiding the info</w:t>
      </w:r>
      <w:r>
        <w:rPr>
          <w:rFonts w:ascii="Arial" w:hAnsi="Arial"/>
          <w:color w:val="010000"/>
          <w:sz w:val="20"/>
        </w:rPr>
        <w:t xml:space="preserve">rmation disclosure on the securities market, </w:t>
      </w:r>
      <w:proofErr w:type="spellStart"/>
      <w:r>
        <w:rPr>
          <w:rFonts w:ascii="Arial" w:hAnsi="Arial"/>
          <w:color w:val="010000"/>
          <w:sz w:val="20"/>
        </w:rPr>
        <w:t>Meca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Vneco</w:t>
      </w:r>
      <w:proofErr w:type="spellEnd"/>
      <w:r>
        <w:rPr>
          <w:rFonts w:ascii="Arial" w:hAnsi="Arial"/>
          <w:color w:val="010000"/>
          <w:sz w:val="20"/>
        </w:rPr>
        <w:t xml:space="preserve"> Investment and Electricity Construction Joint Stock Company report as follows:</w:t>
      </w:r>
    </w:p>
    <w:p w14:paraId="3BD16561" w14:textId="7ADF9CE9" w:rsidR="0052054A" w:rsidRDefault="00897695" w:rsidP="008976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96"/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Activities of the General Meeting</w:t>
      </w:r>
      <w:r>
        <w:rPr>
          <w:rFonts w:ascii="Arial" w:hAnsi="Arial"/>
          <w:color w:val="010000"/>
          <w:sz w:val="20"/>
        </w:rPr>
        <w:t>:</w:t>
      </w:r>
    </w:p>
    <w:p w14:paraId="6B2B10EE" w14:textId="0A2BEA4F" w:rsidR="0052054A" w:rsidRDefault="00897695" w:rsidP="0089769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meetings and General Mandates/Decisions of the General Meeting</w:t>
      </w:r>
      <w:r>
        <w:rPr>
          <w:rFonts w:ascii="Arial" w:hAnsi="Arial"/>
          <w:color w:val="010000"/>
          <w:sz w:val="20"/>
        </w:rPr>
        <w:t xml:space="preserve"> (including General Mandates approved by collecting ballots</w:t>
      </w:r>
      <w:r>
        <w:rPr>
          <w:rFonts w:ascii="Arial" w:hAnsi="Arial"/>
          <w:color w:val="010000"/>
          <w:sz w:val="20"/>
        </w:rPr>
        <w:t>)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8"/>
        <w:gridCol w:w="2595"/>
        <w:gridCol w:w="1262"/>
        <w:gridCol w:w="4492"/>
      </w:tblGrid>
      <w:tr w:rsidR="0052054A" w14:paraId="7E13AB56" w14:textId="77777777">
        <w:tc>
          <w:tcPr>
            <w:tcW w:w="6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55A5E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5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D8B52C" w14:textId="257D8F9A" w:rsidR="0052054A" w:rsidRDefault="00897695" w:rsidP="00897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Mandate/Decision of the General Meeting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AB178E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</w:t>
            </w:r>
            <w:r>
              <w:rPr>
                <w:rFonts w:ascii="Arial" w:hAnsi="Arial"/>
                <w:color w:val="010000"/>
                <w:sz w:val="20"/>
              </w:rPr>
              <w:t>ate</w:t>
            </w:r>
          </w:p>
        </w:tc>
        <w:tc>
          <w:tcPr>
            <w:tcW w:w="44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B34966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52054A" w14:paraId="3615F141" w14:textId="77777777">
        <w:tc>
          <w:tcPr>
            <w:tcW w:w="6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A107EA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5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B977A5" w14:textId="33153731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Meeting Minutes No. 01/2023/BBH-DHDCD of the Annual 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2FD466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20, 2023</w:t>
            </w:r>
          </w:p>
        </w:tc>
        <w:tc>
          <w:tcPr>
            <w:tcW w:w="44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987039" w14:textId="6C5AA2E9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1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Meeting Minutes of the </w:t>
            </w:r>
            <w:r w:rsidR="007670BD">
              <w:rPr>
                <w:rFonts w:ascii="Arial" w:hAnsi="Arial"/>
                <w:color w:val="010000"/>
                <w:sz w:val="20"/>
              </w:rPr>
              <w:t>Annual General Mandate 2023</w:t>
            </w:r>
          </w:p>
        </w:tc>
      </w:tr>
      <w:tr w:rsidR="00897695" w14:paraId="76D983FD" w14:textId="77777777">
        <w:tc>
          <w:tcPr>
            <w:tcW w:w="6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2CB949" w14:textId="11A970DB" w:rsidR="00897695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5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CCCE6F" w14:textId="10B7DC5A" w:rsidR="00897695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No. 01/2023/NQ-DHDCD of the Annual General Meeting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18328B" w14:textId="094C1DE5" w:rsidR="00897695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20, 2023</w:t>
            </w:r>
          </w:p>
        </w:tc>
        <w:tc>
          <w:tcPr>
            <w:tcW w:w="44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57DD81" w14:textId="7FD7E638" w:rsidR="00897695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1"/>
                <w:tab w:val="left" w:pos="360"/>
              </w:tabs>
              <w:spacing w:after="120" w:line="360" w:lineRule="auto"/>
              <w:rPr>
                <w:rFonts w:ascii="Arial" w:hAnsi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2023</w:t>
            </w:r>
          </w:p>
        </w:tc>
      </w:tr>
    </w:tbl>
    <w:p w14:paraId="36DE6D80" w14:textId="42884FF2" w:rsidR="0052054A" w:rsidRDefault="00897695" w:rsidP="007670BD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28"/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of Directors</w:t>
      </w:r>
    </w:p>
    <w:p w14:paraId="0E1BA3E4" w14:textId="77777777" w:rsidR="0052054A" w:rsidRDefault="00897695" w:rsidP="007670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a0"/>
        <w:tblW w:w="9017" w:type="dxa"/>
        <w:tblLayout w:type="fixed"/>
        <w:tblLook w:val="0400" w:firstRow="0" w:lastRow="0" w:firstColumn="0" w:lastColumn="0" w:noHBand="0" w:noVBand="1"/>
      </w:tblPr>
      <w:tblGrid>
        <w:gridCol w:w="727"/>
        <w:gridCol w:w="2234"/>
        <w:gridCol w:w="2460"/>
        <w:gridCol w:w="1825"/>
        <w:gridCol w:w="1771"/>
      </w:tblGrid>
      <w:tr w:rsidR="0052054A" w14:paraId="7E90FEFD" w14:textId="77777777"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6B13E1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E68578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Board of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Directors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89A246" w14:textId="0F5DAC60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Position (independent member, non-executive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member of the Board of Directors)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23195F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Date of appointment/ dismissal as member/independent member of the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Board of Directors</w:t>
            </w:r>
          </w:p>
        </w:tc>
      </w:tr>
      <w:tr w:rsidR="0052054A" w14:paraId="02CD8B45" w14:textId="77777777"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9339EE" w14:textId="77777777" w:rsidR="0052054A" w:rsidRDefault="0052054A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22969" w14:textId="77777777" w:rsidR="0052054A" w:rsidRDefault="0052054A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9BAC11" w14:textId="77777777" w:rsidR="0052054A" w:rsidRDefault="0052054A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24B2A8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E6D6DD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52054A" w14:paraId="26AAA746" w14:textId="77777777">
        <w:tc>
          <w:tcPr>
            <w:tcW w:w="7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648546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59928C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Duong Van Hoai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57AD3F" w14:textId="31553064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 -cum- Executive Manager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9E200E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20, 2022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408E94" w14:textId="77777777" w:rsidR="0052054A" w:rsidRDefault="0052054A" w:rsidP="007670BD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2054A" w14:paraId="041ED0B7" w14:textId="77777777">
        <w:tc>
          <w:tcPr>
            <w:tcW w:w="7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DFE44B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461678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Vo Thanh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Vinh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D8D1EF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FA9D95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20, 2022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7C3C36" w14:textId="77777777" w:rsidR="0052054A" w:rsidRDefault="0052054A" w:rsidP="007670BD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2054A" w14:paraId="4660805E" w14:textId="77777777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39C1F1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D1FCA4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 Hong Quan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5DAFF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F440C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20, 2022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227146" w14:textId="77777777" w:rsidR="0052054A" w:rsidRDefault="0052054A" w:rsidP="007670BD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F296C3D" w14:textId="77777777" w:rsidR="0052054A" w:rsidRDefault="00897695" w:rsidP="007670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Decisions: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8"/>
        <w:gridCol w:w="3127"/>
        <w:gridCol w:w="1585"/>
        <w:gridCol w:w="3587"/>
      </w:tblGrid>
      <w:tr w:rsidR="0052054A" w14:paraId="058C5070" w14:textId="77777777">
        <w:tc>
          <w:tcPr>
            <w:tcW w:w="7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2A550C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1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0D94FC" w14:textId="77777777" w:rsidR="0052054A" w:rsidRDefault="0052054A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  <w:p w14:paraId="3619697B" w14:textId="4C6FAA36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Resolutions/Board Decisions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F056AC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35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39C6CC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52054A" w14:paraId="5A583194" w14:textId="77777777">
        <w:tc>
          <w:tcPr>
            <w:tcW w:w="7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F6815F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31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CE0B8D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0103/2023/NQ-HDQT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9E0BBE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01, 2023</w:t>
            </w:r>
          </w:p>
        </w:tc>
        <w:tc>
          <w:tcPr>
            <w:tcW w:w="35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356B0A" w14:textId="783BE1F8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Convene</w:t>
            </w:r>
            <w:r>
              <w:rPr>
                <w:rFonts w:ascii="Arial" w:hAnsi="Arial"/>
                <w:color w:val="010000"/>
                <w:sz w:val="20"/>
              </w:rPr>
              <w:t xml:space="preserve"> the Annual 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52054A" w14:paraId="60FF0DA1" w14:textId="77777777">
        <w:tc>
          <w:tcPr>
            <w:tcW w:w="7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72D788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</w:t>
            </w:r>
          </w:p>
        </w:tc>
        <w:tc>
          <w:tcPr>
            <w:tcW w:w="31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C32AF0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0203/2023/NQ-HDQT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530B50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23, 2023</w:t>
            </w:r>
          </w:p>
        </w:tc>
        <w:tc>
          <w:tcPr>
            <w:tcW w:w="35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E5B28A" w14:textId="1501377D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meeting documents for the Annual 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52054A" w14:paraId="18D152E7" w14:textId="77777777">
        <w:tc>
          <w:tcPr>
            <w:tcW w:w="7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BACDDA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</w:t>
            </w:r>
          </w:p>
        </w:tc>
        <w:tc>
          <w:tcPr>
            <w:tcW w:w="31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780169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0507/2023/NQ-HDQT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DACB1F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05, 2023</w:t>
            </w:r>
          </w:p>
        </w:tc>
        <w:tc>
          <w:tcPr>
            <w:tcW w:w="35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AF4406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Semi-annual Corporate Governance Report 2023</w:t>
            </w:r>
          </w:p>
        </w:tc>
      </w:tr>
    </w:tbl>
    <w:p w14:paraId="31662EA7" w14:textId="2059125D" w:rsidR="0052054A" w:rsidRDefault="00897695" w:rsidP="007670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</w:t>
      </w:r>
    </w:p>
    <w:p w14:paraId="38189921" w14:textId="77777777" w:rsidR="0052054A" w:rsidRDefault="00897695" w:rsidP="007670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7"/>
        <w:gridCol w:w="2288"/>
        <w:gridCol w:w="1803"/>
        <w:gridCol w:w="2447"/>
        <w:gridCol w:w="1852"/>
      </w:tblGrid>
      <w:tr w:rsidR="0052054A" w14:paraId="2C2A0A64" w14:textId="77777777">
        <w:tc>
          <w:tcPr>
            <w:tcW w:w="6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B76660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2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DF2D1D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Board/Audit Committee</w:t>
            </w:r>
          </w:p>
        </w:tc>
        <w:tc>
          <w:tcPr>
            <w:tcW w:w="18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D2B33D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4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32EED1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Supervisory/the Audit Committee</w:t>
            </w:r>
          </w:p>
        </w:tc>
        <w:tc>
          <w:tcPr>
            <w:tcW w:w="18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00C8F5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52054A" w14:paraId="3AFAB2CD" w14:textId="77777777">
        <w:tc>
          <w:tcPr>
            <w:tcW w:w="6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DD5852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22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23242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Pham Thu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Hien</w:t>
            </w:r>
            <w:proofErr w:type="spellEnd"/>
          </w:p>
        </w:tc>
        <w:tc>
          <w:tcPr>
            <w:tcW w:w="18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220643" w14:textId="64B9CE04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24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572AFA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20, 2023 -</w:t>
            </w:r>
          </w:p>
        </w:tc>
        <w:tc>
          <w:tcPr>
            <w:tcW w:w="18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18B593" w14:textId="020C088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>
              <w:rPr>
                <w:rFonts w:ascii="Arial" w:hAnsi="Arial"/>
                <w:color w:val="010000"/>
                <w:sz w:val="20"/>
              </w:rPr>
              <w:t xml:space="preserve"> Accounting</w:t>
            </w:r>
          </w:p>
        </w:tc>
      </w:tr>
      <w:tr w:rsidR="0052054A" w14:paraId="053F2270" w14:textId="77777777">
        <w:tc>
          <w:tcPr>
            <w:tcW w:w="6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AA399D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</w:t>
            </w:r>
          </w:p>
        </w:tc>
        <w:tc>
          <w:tcPr>
            <w:tcW w:w="22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711F64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Thi Loan</w:t>
            </w:r>
          </w:p>
        </w:tc>
        <w:tc>
          <w:tcPr>
            <w:tcW w:w="18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CE139F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Supervisory Board</w:t>
            </w:r>
          </w:p>
        </w:tc>
        <w:tc>
          <w:tcPr>
            <w:tcW w:w="24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D3A1DE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20, 2022 -</w:t>
            </w:r>
          </w:p>
        </w:tc>
        <w:tc>
          <w:tcPr>
            <w:tcW w:w="18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F572BB" w14:textId="4EF93BAA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>
              <w:rPr>
                <w:rFonts w:ascii="Arial" w:hAnsi="Arial"/>
                <w:color w:val="010000"/>
                <w:sz w:val="20"/>
              </w:rPr>
              <w:t xml:space="preserve"> Accounting</w:t>
            </w:r>
          </w:p>
        </w:tc>
      </w:tr>
      <w:tr w:rsidR="0052054A" w14:paraId="7D11C3F6" w14:textId="77777777">
        <w:tc>
          <w:tcPr>
            <w:tcW w:w="6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18E67F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</w:t>
            </w:r>
          </w:p>
        </w:tc>
        <w:tc>
          <w:tcPr>
            <w:tcW w:w="22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4F7EBC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Thi Bang Tam</w:t>
            </w:r>
          </w:p>
          <w:p w14:paraId="34BDE204" w14:textId="77777777" w:rsidR="0052054A" w:rsidRDefault="0052054A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9486B2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Supervisory Board</w:t>
            </w:r>
          </w:p>
        </w:tc>
        <w:tc>
          <w:tcPr>
            <w:tcW w:w="24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00534D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26, 2020 -</w:t>
            </w:r>
          </w:p>
        </w:tc>
        <w:tc>
          <w:tcPr>
            <w:tcW w:w="18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887588" w14:textId="2DA37025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>
              <w:rPr>
                <w:rFonts w:ascii="Arial" w:hAnsi="Arial"/>
                <w:color w:val="010000"/>
                <w:sz w:val="20"/>
              </w:rPr>
              <w:t xml:space="preserve"> Accounting</w:t>
            </w:r>
          </w:p>
        </w:tc>
      </w:tr>
    </w:tbl>
    <w:p w14:paraId="2D97A13D" w14:textId="79B6F979" w:rsidR="0052054A" w:rsidRDefault="00897695" w:rsidP="007670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Executive Board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2"/>
        <w:gridCol w:w="2408"/>
        <w:gridCol w:w="1461"/>
        <w:gridCol w:w="1722"/>
        <w:gridCol w:w="2624"/>
      </w:tblGrid>
      <w:tr w:rsidR="0052054A" w14:paraId="68638560" w14:textId="77777777">
        <w:tc>
          <w:tcPr>
            <w:tcW w:w="8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117827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B4597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  <w:p w14:paraId="06E96808" w14:textId="77777777" w:rsidR="0052054A" w:rsidRDefault="0052054A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48BAE5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7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36C1AD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6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B0E58F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52054A" w14:paraId="2E3E0DEC" w14:textId="77777777">
        <w:tc>
          <w:tcPr>
            <w:tcW w:w="8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09954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07031C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Duong Van Hoai</w:t>
            </w:r>
          </w:p>
        </w:tc>
        <w:tc>
          <w:tcPr>
            <w:tcW w:w="14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0F099C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01, 1977</w:t>
            </w:r>
          </w:p>
        </w:tc>
        <w:tc>
          <w:tcPr>
            <w:tcW w:w="17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F0879B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26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8F084B" w14:textId="3DFB4D86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03, 2017 - date</w:t>
            </w:r>
          </w:p>
        </w:tc>
      </w:tr>
    </w:tbl>
    <w:p w14:paraId="1DA8E723" w14:textId="77777777" w:rsidR="0052054A" w:rsidRDefault="00897695" w:rsidP="007670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Accountant.</w:t>
      </w:r>
    </w:p>
    <w:tbl>
      <w:tblPr>
        <w:tblStyle w:val="a4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0"/>
        <w:gridCol w:w="1637"/>
        <w:gridCol w:w="2130"/>
        <w:gridCol w:w="2510"/>
      </w:tblGrid>
      <w:tr w:rsidR="0052054A" w14:paraId="064CFCB9" w14:textId="77777777">
        <w:tc>
          <w:tcPr>
            <w:tcW w:w="27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B7D95E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1AD911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064CFF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5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C4BB2A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/ dismissal</w:t>
            </w:r>
          </w:p>
        </w:tc>
      </w:tr>
      <w:tr w:rsidR="0052054A" w14:paraId="12D66158" w14:textId="77777777">
        <w:tc>
          <w:tcPr>
            <w:tcW w:w="27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87FD1A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Luu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Thi Thanh Truc</w:t>
            </w:r>
          </w:p>
        </w:tc>
        <w:tc>
          <w:tcPr>
            <w:tcW w:w="1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05BB9E" w14:textId="77777777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19, 1984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FB68D3" w14:textId="3ACA1CB3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25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F14AFC" w14:textId="674B2E41" w:rsidR="0052054A" w:rsidRDefault="00897695" w:rsidP="0076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21, 2017 - date</w:t>
            </w:r>
          </w:p>
        </w:tc>
      </w:tr>
    </w:tbl>
    <w:p w14:paraId="45611E7F" w14:textId="77777777" w:rsidR="0052054A" w:rsidRDefault="00897695" w:rsidP="008976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 None</w:t>
      </w:r>
    </w:p>
    <w:p w14:paraId="39DBCA73" w14:textId="77777777" w:rsidR="0052054A" w:rsidRDefault="00897695" w:rsidP="008976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List of related person of the public Company and transactions between the related person of the Company with the Company itself</w:t>
      </w:r>
    </w:p>
    <w:p w14:paraId="3FF26F3A" w14:textId="4A62DB83" w:rsidR="0052054A" w:rsidRDefault="00897695" w:rsidP="008976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30"/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related</w:t>
      </w:r>
      <w:r>
        <w:rPr>
          <w:rFonts w:ascii="Arial" w:hAnsi="Arial"/>
          <w:color w:val="010000"/>
          <w:sz w:val="20"/>
        </w:rPr>
        <w:t xml:space="preserve"> persons of the Company; or between the Company and major shareholders, PDMR, related</w:t>
      </w:r>
      <w:r>
        <w:rPr>
          <w:rFonts w:ascii="Arial" w:hAnsi="Arial"/>
          <w:color w:val="010000"/>
          <w:sz w:val="20"/>
        </w:rPr>
        <w:t xml:space="preserve"> persons of PDMR:</w:t>
      </w:r>
    </w:p>
    <w:p w14:paraId="52A1C88E" w14:textId="100BB48D" w:rsidR="0052054A" w:rsidRDefault="00897695" w:rsidP="008976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Company’s PDMR, related</w:t>
      </w:r>
      <w:r>
        <w:rPr>
          <w:rFonts w:ascii="Arial" w:hAnsi="Arial"/>
          <w:color w:val="010000"/>
          <w:sz w:val="20"/>
        </w:rPr>
        <w:t xml:space="preserve"> persons of PDMR and subsidiaries controlled by the Comp</w:t>
      </w:r>
      <w:r>
        <w:rPr>
          <w:rFonts w:ascii="Arial" w:hAnsi="Arial"/>
          <w:color w:val="010000"/>
          <w:sz w:val="20"/>
        </w:rPr>
        <w:t>any</w:t>
      </w:r>
    </w:p>
    <w:p w14:paraId="2397CA2D" w14:textId="77777777" w:rsidR="0052054A" w:rsidRDefault="00897695" w:rsidP="008976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entities:</w:t>
      </w:r>
    </w:p>
    <w:p w14:paraId="1133EAFB" w14:textId="0BA45538" w:rsidR="0052054A" w:rsidRDefault="00897695" w:rsidP="0089769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the companies where members of the Board of Directors, members of the Supervisory Board, the Executive Manager</w:t>
      </w:r>
      <w:r>
        <w:rPr>
          <w:rFonts w:ascii="Arial" w:hAnsi="Arial"/>
          <w:color w:val="010000"/>
          <w:sz w:val="20"/>
        </w:rPr>
        <w:t xml:space="preserve"> (Managing Director</w:t>
      </w:r>
      <w:r>
        <w:rPr>
          <w:rFonts w:ascii="Arial" w:hAnsi="Arial"/>
          <w:color w:val="010000"/>
          <w:sz w:val="20"/>
        </w:rPr>
        <w:t>) and other Executive Manager</w:t>
      </w:r>
      <w:r>
        <w:rPr>
          <w:rFonts w:ascii="Arial" w:hAnsi="Arial"/>
          <w:color w:val="010000"/>
          <w:sz w:val="20"/>
        </w:rPr>
        <w:t xml:space="preserve">s who </w:t>
      </w:r>
      <w:r>
        <w:rPr>
          <w:rFonts w:ascii="Arial" w:hAnsi="Arial"/>
          <w:color w:val="010000"/>
          <w:sz w:val="20"/>
        </w:rPr>
        <w:t>have been founding members or members of the Board of Directors or</w:t>
      </w:r>
      <w:r>
        <w:rPr>
          <w:rFonts w:ascii="Arial" w:hAnsi="Arial"/>
          <w:color w:val="010000"/>
          <w:sz w:val="20"/>
        </w:rPr>
        <w:t xml:space="preserve"> Executive Manager</w:t>
      </w:r>
      <w:r>
        <w:rPr>
          <w:rFonts w:ascii="Arial" w:hAnsi="Arial"/>
          <w:color w:val="010000"/>
          <w:sz w:val="20"/>
        </w:rPr>
        <w:t xml:space="preserve"> (Managing Director</w:t>
      </w:r>
      <w:r>
        <w:rPr>
          <w:rFonts w:ascii="Arial" w:hAnsi="Arial"/>
          <w:color w:val="010000"/>
          <w:sz w:val="20"/>
        </w:rPr>
        <w:t>) for the past three (03) years (as at the date</w:t>
      </w:r>
      <w:r>
        <w:rPr>
          <w:rFonts w:ascii="Arial" w:hAnsi="Arial"/>
          <w:color w:val="010000"/>
          <w:sz w:val="20"/>
        </w:rPr>
        <w:t xml:space="preserve"> of reporting):</w:t>
      </w:r>
    </w:p>
    <w:p w14:paraId="0FCA4F5E" w14:textId="25339F64" w:rsidR="0052054A" w:rsidRDefault="00897695" w:rsidP="0089769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companies executed by the related</w:t>
      </w:r>
      <w:r>
        <w:rPr>
          <w:rFonts w:ascii="Arial" w:hAnsi="Arial"/>
          <w:color w:val="010000"/>
          <w:sz w:val="20"/>
        </w:rPr>
        <w:t xml:space="preserve"> people of members of the Board of Directors, members of the Supervisory Board and Executive Manager (Managing Director</w:t>
      </w:r>
      <w:r>
        <w:rPr>
          <w:rFonts w:ascii="Arial" w:hAnsi="Arial"/>
          <w:color w:val="010000"/>
          <w:sz w:val="20"/>
        </w:rPr>
        <w:t>) and other managers</w:t>
      </w:r>
      <w:r>
        <w:rPr>
          <w:rFonts w:ascii="Arial" w:hAnsi="Arial"/>
          <w:color w:val="010000"/>
          <w:sz w:val="20"/>
        </w:rPr>
        <w:t xml:space="preserve"> who are members of the Board of Directors or Executive Manager (Managing Director</w:t>
      </w:r>
      <w:r>
        <w:rPr>
          <w:rFonts w:ascii="Arial" w:hAnsi="Arial"/>
          <w:color w:val="010000"/>
          <w:sz w:val="20"/>
        </w:rPr>
        <w:t>).</w:t>
      </w:r>
    </w:p>
    <w:p w14:paraId="5F5374C1" w14:textId="0F51A7A1" w:rsidR="0052054A" w:rsidRDefault="00897695" w:rsidP="0089769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transactions of the Company (if any) which can bring about material or non-material benefits to members of the Board of Directors, members of the Supervisory Board,</w:t>
      </w:r>
      <w:r>
        <w:rPr>
          <w:rFonts w:ascii="Arial" w:hAnsi="Arial"/>
          <w:color w:val="010000"/>
          <w:sz w:val="20"/>
        </w:rPr>
        <w:t xml:space="preserve"> Executive Manager</w:t>
      </w:r>
      <w:r>
        <w:rPr>
          <w:rFonts w:ascii="Arial" w:hAnsi="Arial"/>
          <w:color w:val="010000"/>
          <w:sz w:val="20"/>
        </w:rPr>
        <w:t xml:space="preserve"> (Managing Director</w:t>
      </w:r>
      <w:r>
        <w:rPr>
          <w:rFonts w:ascii="Arial" w:hAnsi="Arial"/>
          <w:color w:val="010000"/>
          <w:sz w:val="20"/>
        </w:rPr>
        <w:t>) and other manager</w:t>
      </w:r>
      <w:r>
        <w:rPr>
          <w:rFonts w:ascii="Arial" w:hAnsi="Arial"/>
          <w:color w:val="010000"/>
          <w:sz w:val="20"/>
        </w:rPr>
        <w:t>s.</w:t>
      </w:r>
    </w:p>
    <w:p w14:paraId="1FB30561" w14:textId="45407665" w:rsidR="0052054A" w:rsidRDefault="00897695" w:rsidP="008976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Share transactions of PDMR and related</w:t>
      </w:r>
      <w:r>
        <w:rPr>
          <w:rFonts w:ascii="Arial" w:hAnsi="Arial"/>
          <w:color w:val="010000"/>
          <w:sz w:val="20"/>
        </w:rPr>
        <w:t xml:space="preserve"> persons of PDMR</w:t>
      </w:r>
    </w:p>
    <w:p w14:paraId="31E217FB" w14:textId="1E514F5B" w:rsidR="0052054A" w:rsidRDefault="00897695" w:rsidP="008976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Company’s share transaction of PDMR and related</w:t>
      </w:r>
      <w:r>
        <w:rPr>
          <w:rFonts w:ascii="Arial" w:hAnsi="Arial"/>
          <w:color w:val="010000"/>
          <w:sz w:val="20"/>
        </w:rPr>
        <w:t xml:space="preserve"> persons</w:t>
      </w:r>
    </w:p>
    <w:p w14:paraId="49BEC56F" w14:textId="77777777" w:rsidR="0052054A" w:rsidRDefault="00897695" w:rsidP="008976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 None.</w:t>
      </w:r>
    </w:p>
    <w:p w14:paraId="36A91794" w14:textId="2FC1EAD8" w:rsidR="0052054A" w:rsidRDefault="00897695" w:rsidP="0089769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aforementioned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contents have been disclosed and reported by the Company to the State Securities Commission, the Stock Exchange, and posted on the Company's website under</w:t>
      </w:r>
      <w:r>
        <w:rPr>
          <w:rFonts w:ascii="Arial" w:hAnsi="Arial"/>
          <w:color w:val="010000"/>
          <w:sz w:val="20"/>
        </w:rPr>
        <w:t xml:space="preserve"> Circular 96/2020/TT- BTC dated November 16, 2020 of the Mini</w:t>
      </w:r>
      <w:r>
        <w:rPr>
          <w:rFonts w:ascii="Arial" w:hAnsi="Arial"/>
          <w:color w:val="010000"/>
          <w:sz w:val="20"/>
        </w:rPr>
        <w:t xml:space="preserve">stry of Finance guiding the information disclosure on the </w:t>
      </w:r>
      <w:r>
        <w:rPr>
          <w:rFonts w:ascii="Arial" w:hAnsi="Arial"/>
          <w:color w:val="010000"/>
          <w:sz w:val="20"/>
        </w:rPr>
        <w:lastRenderedPageBreak/>
        <w:t>securities market.</w:t>
      </w:r>
    </w:p>
    <w:sectPr w:rsidR="0052054A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4678"/>
    <w:multiLevelType w:val="multilevel"/>
    <w:tmpl w:val="5FE2E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4EE6"/>
    <w:multiLevelType w:val="multilevel"/>
    <w:tmpl w:val="4AC24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71E54"/>
    <w:multiLevelType w:val="multilevel"/>
    <w:tmpl w:val="61624782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85463AD"/>
    <w:multiLevelType w:val="multilevel"/>
    <w:tmpl w:val="845C4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104F3"/>
    <w:multiLevelType w:val="multilevel"/>
    <w:tmpl w:val="192AE26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7911363"/>
    <w:multiLevelType w:val="multilevel"/>
    <w:tmpl w:val="BDD4F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D2E3F"/>
    <w:multiLevelType w:val="multilevel"/>
    <w:tmpl w:val="BB9C018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7C95377A"/>
    <w:multiLevelType w:val="multilevel"/>
    <w:tmpl w:val="23B8ACA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D589F"/>
    <w:multiLevelType w:val="multilevel"/>
    <w:tmpl w:val="2160BA8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4A"/>
    <w:rsid w:val="0052054A"/>
    <w:rsid w:val="007670BD"/>
    <w:rsid w:val="0089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0D99C"/>
  <w15:docId w15:val="{5EE58497-1C1C-4508-859C-5559DA11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/>
      <w:iCs/>
      <w:smallCaps w:val="0"/>
      <w:strike w:val="0"/>
      <w:color w:val="522628"/>
      <w:sz w:val="14"/>
      <w:szCs w:val="1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color w:val="232222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17"/>
      <w:szCs w:val="17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Bodytext40">
    <w:name w:val="Body text (4)"/>
    <w:basedOn w:val="Normal"/>
    <w:link w:val="Bodytext4"/>
    <w:pPr>
      <w:ind w:firstLine="960"/>
    </w:pPr>
    <w:rPr>
      <w:rFonts w:ascii="Times New Roman" w:eastAsia="Times New Roman" w:hAnsi="Times New Roman" w:cs="Times New Roman"/>
      <w:b/>
      <w:bCs/>
      <w:i/>
      <w:iCs/>
      <w:sz w:val="13"/>
      <w:szCs w:val="13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b/>
      <w:bCs/>
      <w:sz w:val="16"/>
      <w:szCs w:val="16"/>
    </w:rPr>
  </w:style>
  <w:style w:type="paragraph" w:customStyle="1" w:styleId="Bodytext60">
    <w:name w:val="Body text (6)"/>
    <w:basedOn w:val="Normal"/>
    <w:link w:val="Bodytext6"/>
    <w:pPr>
      <w:spacing w:line="264" w:lineRule="auto"/>
    </w:pPr>
    <w:rPr>
      <w:rFonts w:ascii="Arial" w:eastAsia="Arial" w:hAnsi="Arial" w:cs="Arial"/>
      <w:i/>
      <w:iCs/>
      <w:color w:val="522628"/>
      <w:sz w:val="14"/>
      <w:szCs w:val="14"/>
    </w:rPr>
  </w:style>
  <w:style w:type="paragraph" w:styleId="BodyText">
    <w:name w:val="Body Text"/>
    <w:basedOn w:val="Normal"/>
    <w:link w:val="BodyTextChar"/>
    <w:qFormat/>
    <w:pPr>
      <w:spacing w:line="336" w:lineRule="auto"/>
      <w:ind w:firstLine="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31">
    <w:name w:val="Heading #3"/>
    <w:basedOn w:val="Normal"/>
    <w:link w:val="Heading30"/>
    <w:pPr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21">
    <w:name w:val="Heading #2"/>
    <w:basedOn w:val="Normal"/>
    <w:link w:val="Heading20"/>
    <w:pPr>
      <w:spacing w:line="182" w:lineRule="auto"/>
      <w:ind w:firstLine="110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322" w:lineRule="auto"/>
      <w:ind w:left="37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Arial" w:eastAsia="Arial" w:hAnsi="Arial" w:cs="Arial"/>
      <w:color w:val="232222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151" w:lineRule="auto"/>
    </w:pPr>
    <w:rPr>
      <w:rFonts w:ascii="Arial" w:eastAsia="Arial" w:hAnsi="Arial" w:cs="Arial"/>
      <w:sz w:val="11"/>
      <w:szCs w:val="1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cavneco.com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ail27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beWk7E6FYXMXYRHlKio4mXU2dw==">CgMxLjA4AHIhMXJpYUtGZHJ3YjNRNk94WkpScnB4VnBFaXFBVFYybVlD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Nguyen Duc Quan</cp:lastModifiedBy>
  <cp:revision>2</cp:revision>
  <dcterms:created xsi:type="dcterms:W3CDTF">2024-01-29T04:37:00Z</dcterms:created>
  <dcterms:modified xsi:type="dcterms:W3CDTF">2024-01-29T04:37:00Z</dcterms:modified>
</cp:coreProperties>
</file>