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314C3" w14:textId="77777777" w:rsidR="00611F63" w:rsidRPr="00402DDD" w:rsidRDefault="00082785" w:rsidP="009558C9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02DDD">
        <w:rPr>
          <w:rFonts w:ascii="Arial" w:hAnsi="Arial" w:cs="Arial"/>
          <w:b/>
          <w:bCs/>
          <w:color w:val="010000"/>
          <w:sz w:val="20"/>
        </w:rPr>
        <w:t>L14:</w:t>
      </w:r>
      <w:r w:rsidRPr="00402DDD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671053FB" w14:textId="77777777" w:rsidR="00611F63" w:rsidRPr="00402DDD" w:rsidRDefault="00082785" w:rsidP="009558C9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02DDD">
        <w:rPr>
          <w:rFonts w:ascii="Arial" w:hAnsi="Arial" w:cs="Arial"/>
          <w:color w:val="010000"/>
          <w:sz w:val="20"/>
        </w:rPr>
        <w:t xml:space="preserve">On December 27, 2023, </w:t>
      </w:r>
      <w:proofErr w:type="spellStart"/>
      <w:r w:rsidRPr="00402DDD">
        <w:rPr>
          <w:rFonts w:ascii="Arial" w:hAnsi="Arial" w:cs="Arial"/>
          <w:color w:val="010000"/>
          <w:sz w:val="20"/>
        </w:rPr>
        <w:t>Licogi</w:t>
      </w:r>
      <w:proofErr w:type="spellEnd"/>
      <w:r w:rsidRPr="00402DDD">
        <w:rPr>
          <w:rFonts w:ascii="Arial" w:hAnsi="Arial" w:cs="Arial"/>
          <w:color w:val="010000"/>
          <w:sz w:val="20"/>
        </w:rPr>
        <w:t xml:space="preserve"> 14 JSC announced Board Resolution No. 22/NQ-HDQT as follows:</w:t>
      </w:r>
    </w:p>
    <w:p w14:paraId="7872A789" w14:textId="6D4A3B8D" w:rsidR="00611F63" w:rsidRPr="00402DDD" w:rsidRDefault="00082785" w:rsidP="009558C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02DDD">
        <w:rPr>
          <w:rFonts w:ascii="Arial" w:hAnsi="Arial" w:cs="Arial"/>
          <w:color w:val="010000"/>
          <w:sz w:val="20"/>
        </w:rPr>
        <w:t>Article 1: Approve the entire contents in the Minutes of the meeting of the Board of Directors dated December 27, 2023</w:t>
      </w:r>
      <w:r w:rsidR="009558C9">
        <w:rPr>
          <w:rFonts w:ascii="Arial" w:hAnsi="Arial" w:cs="Arial"/>
          <w:color w:val="010000"/>
          <w:sz w:val="20"/>
        </w:rPr>
        <w:t>,</w:t>
      </w:r>
      <w:r w:rsidRPr="00402DDD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Pr="00402DDD">
        <w:rPr>
          <w:rFonts w:ascii="Arial" w:hAnsi="Arial" w:cs="Arial"/>
          <w:color w:val="010000"/>
          <w:sz w:val="20"/>
        </w:rPr>
        <w:t>Licogi</w:t>
      </w:r>
      <w:proofErr w:type="spellEnd"/>
      <w:r w:rsidRPr="00402DDD">
        <w:rPr>
          <w:rFonts w:ascii="Arial" w:hAnsi="Arial" w:cs="Arial"/>
          <w:color w:val="010000"/>
          <w:sz w:val="20"/>
        </w:rPr>
        <w:t xml:space="preserve"> 14 JSC </w:t>
      </w:r>
    </w:p>
    <w:p w14:paraId="61922D6D" w14:textId="77777777" w:rsidR="00611F63" w:rsidRPr="00402DDD" w:rsidRDefault="00082785" w:rsidP="009558C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02DDD">
        <w:rPr>
          <w:rFonts w:ascii="Arial" w:hAnsi="Arial" w:cs="Arial"/>
          <w:color w:val="010000"/>
          <w:sz w:val="20"/>
        </w:rPr>
        <w:t>Approve the evaluation of the production and business results in 2023</w:t>
      </w:r>
    </w:p>
    <w:p w14:paraId="3FE595C6" w14:textId="10D23560" w:rsidR="00611F63" w:rsidRPr="00402DDD" w:rsidRDefault="00082785" w:rsidP="009558C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02DDD">
        <w:rPr>
          <w:rFonts w:ascii="Arial" w:hAnsi="Arial" w:cs="Arial"/>
          <w:color w:val="010000"/>
          <w:sz w:val="20"/>
        </w:rPr>
        <w:t>The Board of Directors approved</w:t>
      </w:r>
      <w:r w:rsidR="000734A9" w:rsidRPr="00402DDD">
        <w:rPr>
          <w:rFonts w:ascii="Arial" w:hAnsi="Arial" w:cs="Arial"/>
          <w:color w:val="010000"/>
          <w:sz w:val="20"/>
        </w:rPr>
        <w:t xml:space="preserve"> and </w:t>
      </w:r>
      <w:r w:rsidRPr="00402DDD">
        <w:rPr>
          <w:rFonts w:ascii="Arial" w:hAnsi="Arial" w:cs="Arial"/>
          <w:color w:val="010000"/>
          <w:sz w:val="20"/>
        </w:rPr>
        <w:t xml:space="preserve">highly agreed on implementing </w:t>
      </w:r>
      <w:r w:rsidR="009558C9">
        <w:rPr>
          <w:rFonts w:ascii="Arial" w:hAnsi="Arial" w:cs="Arial"/>
          <w:color w:val="010000"/>
          <w:sz w:val="20"/>
        </w:rPr>
        <w:t>several</w:t>
      </w:r>
      <w:r w:rsidRPr="00402DDD">
        <w:rPr>
          <w:rFonts w:ascii="Arial" w:hAnsi="Arial" w:cs="Arial"/>
          <w:color w:val="010000"/>
          <w:sz w:val="20"/>
        </w:rPr>
        <w:t xml:space="preserve"> drastic and urgent works </w:t>
      </w:r>
      <w:r w:rsidR="000734A9" w:rsidRPr="00402DDD">
        <w:rPr>
          <w:rFonts w:ascii="Arial" w:hAnsi="Arial" w:cs="Arial"/>
          <w:color w:val="010000"/>
          <w:sz w:val="20"/>
        </w:rPr>
        <w:t xml:space="preserve">in </w:t>
      </w:r>
      <w:r w:rsidRPr="00402DDD">
        <w:rPr>
          <w:rFonts w:ascii="Arial" w:hAnsi="Arial" w:cs="Arial"/>
          <w:color w:val="010000"/>
          <w:sz w:val="20"/>
        </w:rPr>
        <w:t xml:space="preserve">December 2023, and at the same time assigned the Board of Management to direct departments to adjust </w:t>
      </w:r>
      <w:r w:rsidR="000734A9" w:rsidRPr="00402DDD">
        <w:rPr>
          <w:rFonts w:ascii="Arial" w:hAnsi="Arial" w:cs="Arial"/>
          <w:color w:val="010000"/>
          <w:sz w:val="20"/>
        </w:rPr>
        <w:t xml:space="preserve">some 2023 </w:t>
      </w:r>
      <w:r w:rsidRPr="00402DDD">
        <w:rPr>
          <w:rFonts w:ascii="Arial" w:hAnsi="Arial" w:cs="Arial"/>
          <w:color w:val="010000"/>
          <w:sz w:val="20"/>
        </w:rPr>
        <w:t xml:space="preserve">production and business plan targets </w:t>
      </w:r>
      <w:r w:rsidR="009558C9">
        <w:rPr>
          <w:rFonts w:ascii="Arial" w:hAnsi="Arial" w:cs="Arial"/>
          <w:color w:val="010000"/>
          <w:sz w:val="20"/>
        </w:rPr>
        <w:t xml:space="preserve">in line with </w:t>
      </w:r>
      <w:r w:rsidRPr="00402DDD">
        <w:rPr>
          <w:rFonts w:ascii="Arial" w:hAnsi="Arial" w:cs="Arial"/>
          <w:color w:val="010000"/>
          <w:sz w:val="20"/>
        </w:rPr>
        <w:t xml:space="preserve">the objective reality mentioned above, report to LICOGI Corporation - JSC to </w:t>
      </w:r>
      <w:r w:rsidR="000734A9" w:rsidRPr="00402DDD">
        <w:rPr>
          <w:rFonts w:ascii="Arial" w:hAnsi="Arial" w:cs="Arial"/>
          <w:color w:val="010000"/>
          <w:sz w:val="20"/>
        </w:rPr>
        <w:t>apply for adjusting</w:t>
      </w:r>
      <w:r w:rsidRPr="00402DDD">
        <w:rPr>
          <w:rFonts w:ascii="Arial" w:hAnsi="Arial" w:cs="Arial"/>
          <w:color w:val="010000"/>
          <w:sz w:val="20"/>
        </w:rPr>
        <w:t xml:space="preserve"> the production and business plan for 2023.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400"/>
        <w:gridCol w:w="1407"/>
        <w:gridCol w:w="1257"/>
        <w:gridCol w:w="1955"/>
      </w:tblGrid>
      <w:tr w:rsidR="00611F63" w:rsidRPr="00402DDD" w14:paraId="18480A0B" w14:textId="77777777" w:rsidTr="000734A9">
        <w:tc>
          <w:tcPr>
            <w:tcW w:w="2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AFAB56" w14:textId="77777777" w:rsidR="00611F63" w:rsidRPr="009558C9" w:rsidRDefault="00082785" w:rsidP="0095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9558C9">
              <w:rPr>
                <w:rFonts w:ascii="Arial" w:hAnsi="Arial" w:cs="Arial"/>
                <w:b/>
                <w:color w:val="010000"/>
                <w:sz w:val="20"/>
              </w:rPr>
              <w:t>Targets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CFD5A" w14:textId="77777777" w:rsidR="00611F63" w:rsidRPr="009558C9" w:rsidRDefault="00082785" w:rsidP="0095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9558C9">
              <w:rPr>
                <w:rFonts w:ascii="Arial" w:hAnsi="Arial" w:cs="Arial"/>
                <w:b/>
                <w:color w:val="010000"/>
                <w:sz w:val="20"/>
              </w:rPr>
              <w:t>Unit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029E1" w14:textId="77777777" w:rsidR="00611F63" w:rsidRPr="009558C9" w:rsidRDefault="00082785" w:rsidP="0095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9558C9">
              <w:rPr>
                <w:rFonts w:ascii="Arial" w:hAnsi="Arial" w:cs="Arial"/>
                <w:b/>
                <w:color w:val="010000"/>
                <w:sz w:val="20"/>
              </w:rPr>
              <w:t>2023 Plan</w:t>
            </w:r>
          </w:p>
        </w:tc>
        <w:tc>
          <w:tcPr>
            <w:tcW w:w="10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7381D2" w14:textId="129B8EE4" w:rsidR="00611F63" w:rsidRPr="009558C9" w:rsidRDefault="00082785" w:rsidP="0095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9558C9">
              <w:rPr>
                <w:rFonts w:ascii="Arial" w:hAnsi="Arial" w:cs="Arial"/>
                <w:b/>
                <w:color w:val="010000"/>
                <w:sz w:val="20"/>
              </w:rPr>
              <w:t>Expected adjus</w:t>
            </w:r>
            <w:r w:rsidR="00402DDD" w:rsidRPr="009558C9">
              <w:rPr>
                <w:rFonts w:ascii="Arial" w:hAnsi="Arial" w:cs="Arial"/>
                <w:b/>
                <w:color w:val="010000"/>
                <w:sz w:val="20"/>
              </w:rPr>
              <w:t>ted</w:t>
            </w:r>
            <w:r w:rsidRPr="009558C9">
              <w:rPr>
                <w:rFonts w:ascii="Arial" w:hAnsi="Arial" w:cs="Arial"/>
                <w:b/>
                <w:color w:val="010000"/>
                <w:sz w:val="20"/>
              </w:rPr>
              <w:t xml:space="preserve"> plan for 2023</w:t>
            </w:r>
          </w:p>
        </w:tc>
      </w:tr>
      <w:tr w:rsidR="00611F63" w:rsidRPr="00402DDD" w14:paraId="467E73DE" w14:textId="77777777" w:rsidTr="000734A9">
        <w:tc>
          <w:tcPr>
            <w:tcW w:w="2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5F6AE" w14:textId="69385072" w:rsidR="00611F63" w:rsidRPr="00402DDD" w:rsidRDefault="00082785" w:rsidP="0095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DDD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C52AE8" w14:textId="77777777" w:rsidR="00611F63" w:rsidRPr="00402DDD" w:rsidRDefault="00082785" w:rsidP="0095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DDD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0BDAE0" w14:textId="77777777" w:rsidR="00611F63" w:rsidRPr="00402DDD" w:rsidRDefault="00082785" w:rsidP="0095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DDD">
              <w:rPr>
                <w:rFonts w:ascii="Arial" w:hAnsi="Arial" w:cs="Arial"/>
                <w:color w:val="010000"/>
                <w:sz w:val="20"/>
              </w:rPr>
              <w:t>195,000</w:t>
            </w:r>
          </w:p>
        </w:tc>
        <w:tc>
          <w:tcPr>
            <w:tcW w:w="10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D89FFD" w14:textId="77777777" w:rsidR="00611F63" w:rsidRPr="00402DDD" w:rsidRDefault="00082785" w:rsidP="0095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DDD">
              <w:rPr>
                <w:rFonts w:ascii="Arial" w:hAnsi="Arial" w:cs="Arial"/>
                <w:color w:val="010000"/>
                <w:sz w:val="20"/>
              </w:rPr>
              <w:t>156,000</w:t>
            </w:r>
          </w:p>
        </w:tc>
      </w:tr>
      <w:tr w:rsidR="00611F63" w:rsidRPr="00402DDD" w14:paraId="0B90423A" w14:textId="77777777" w:rsidTr="000734A9">
        <w:tc>
          <w:tcPr>
            <w:tcW w:w="2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2FE602" w14:textId="24DABA0A" w:rsidR="00611F63" w:rsidRPr="00402DDD" w:rsidRDefault="00082785" w:rsidP="0095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DDD">
              <w:rPr>
                <w:rFonts w:ascii="Arial" w:hAnsi="Arial" w:cs="Arial"/>
                <w:color w:val="010000"/>
                <w:sz w:val="20"/>
              </w:rPr>
              <w:t xml:space="preserve">In which: </w:t>
            </w:r>
            <w:r w:rsidR="000734A9" w:rsidRPr="00402DDD">
              <w:rPr>
                <w:rFonts w:ascii="Arial" w:hAnsi="Arial" w:cs="Arial"/>
                <w:color w:val="010000"/>
                <w:sz w:val="20"/>
              </w:rPr>
              <w:br/>
              <w:t xml:space="preserve">- </w:t>
            </w:r>
            <w:r w:rsidRPr="00402DDD">
              <w:rPr>
                <w:rFonts w:ascii="Arial" w:hAnsi="Arial" w:cs="Arial"/>
                <w:color w:val="010000"/>
                <w:sz w:val="20"/>
              </w:rPr>
              <w:t>Revenue from real estate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97DD2D" w14:textId="77777777" w:rsidR="00611F63" w:rsidRPr="00402DDD" w:rsidRDefault="00082785" w:rsidP="0095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DDD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0CEA54" w14:textId="77777777" w:rsidR="00611F63" w:rsidRPr="00402DDD" w:rsidRDefault="00082785" w:rsidP="0095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DDD">
              <w:rPr>
                <w:rFonts w:ascii="Arial" w:hAnsi="Arial" w:cs="Arial"/>
                <w:color w:val="010000"/>
                <w:sz w:val="20"/>
              </w:rPr>
              <w:t>50,000</w:t>
            </w:r>
          </w:p>
        </w:tc>
        <w:tc>
          <w:tcPr>
            <w:tcW w:w="10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867055" w14:textId="77777777" w:rsidR="00611F63" w:rsidRPr="00402DDD" w:rsidRDefault="00082785" w:rsidP="0095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DDD">
              <w:rPr>
                <w:rFonts w:ascii="Arial" w:hAnsi="Arial" w:cs="Arial"/>
                <w:color w:val="010000"/>
                <w:sz w:val="20"/>
              </w:rPr>
              <w:t>12,000</w:t>
            </w:r>
          </w:p>
        </w:tc>
      </w:tr>
      <w:tr w:rsidR="00611F63" w:rsidRPr="00402DDD" w14:paraId="56F4DF09" w14:textId="77777777" w:rsidTr="000734A9">
        <w:tc>
          <w:tcPr>
            <w:tcW w:w="2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95A47" w14:textId="40F859DF" w:rsidR="00611F63" w:rsidRPr="009558C9" w:rsidRDefault="000734A9" w:rsidP="0095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i/>
                <w:color w:val="010000"/>
                <w:sz w:val="20"/>
                <w:szCs w:val="20"/>
              </w:rPr>
            </w:pPr>
            <w:r w:rsidRPr="009558C9">
              <w:rPr>
                <w:rFonts w:ascii="Arial" w:hAnsi="Arial" w:cs="Arial"/>
                <w:i/>
                <w:color w:val="010000"/>
                <w:sz w:val="20"/>
              </w:rPr>
              <w:t xml:space="preserve">- </w:t>
            </w:r>
            <w:r w:rsidR="00082785" w:rsidRPr="009558C9">
              <w:rPr>
                <w:rFonts w:ascii="Arial" w:hAnsi="Arial" w:cs="Arial"/>
                <w:i/>
                <w:color w:val="010000"/>
                <w:sz w:val="20"/>
              </w:rPr>
              <w:t>Revenue from Financial activities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1919E6" w14:textId="77777777" w:rsidR="00611F63" w:rsidRPr="00402DDD" w:rsidRDefault="00082785" w:rsidP="0095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DDD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039107" w14:textId="77777777" w:rsidR="00611F63" w:rsidRPr="00402DDD" w:rsidRDefault="00082785" w:rsidP="0095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DDD">
              <w:rPr>
                <w:rFonts w:ascii="Arial" w:hAnsi="Arial" w:cs="Arial"/>
                <w:color w:val="010000"/>
                <w:sz w:val="20"/>
              </w:rPr>
              <w:t>5,000</w:t>
            </w:r>
          </w:p>
        </w:tc>
        <w:tc>
          <w:tcPr>
            <w:tcW w:w="10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F98C8" w14:textId="77777777" w:rsidR="00611F63" w:rsidRPr="00402DDD" w:rsidRDefault="00082785" w:rsidP="0095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DDD">
              <w:rPr>
                <w:rFonts w:ascii="Arial" w:hAnsi="Arial" w:cs="Arial"/>
                <w:color w:val="010000"/>
                <w:sz w:val="20"/>
              </w:rPr>
              <w:t>30,000</w:t>
            </w:r>
          </w:p>
        </w:tc>
      </w:tr>
      <w:tr w:rsidR="00611F63" w:rsidRPr="00402DDD" w14:paraId="201568F7" w14:textId="77777777" w:rsidTr="000734A9">
        <w:tc>
          <w:tcPr>
            <w:tcW w:w="2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1D46D3" w14:textId="1CD2915A" w:rsidR="00611F63" w:rsidRPr="009558C9" w:rsidRDefault="000734A9" w:rsidP="0095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i/>
                <w:color w:val="010000"/>
                <w:sz w:val="20"/>
                <w:szCs w:val="20"/>
              </w:rPr>
            </w:pPr>
            <w:r w:rsidRPr="009558C9">
              <w:rPr>
                <w:rFonts w:ascii="Arial" w:hAnsi="Arial" w:cs="Arial"/>
                <w:i/>
                <w:color w:val="010000"/>
                <w:sz w:val="20"/>
              </w:rPr>
              <w:t xml:space="preserve">- </w:t>
            </w:r>
            <w:r w:rsidR="00082785" w:rsidRPr="009558C9">
              <w:rPr>
                <w:rFonts w:ascii="Arial" w:hAnsi="Arial" w:cs="Arial"/>
                <w:i/>
                <w:color w:val="010000"/>
                <w:sz w:val="20"/>
              </w:rPr>
              <w:t>Revenue from construction and installation + others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32BC01" w14:textId="77777777" w:rsidR="00611F63" w:rsidRPr="00402DDD" w:rsidRDefault="00082785" w:rsidP="0095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DDD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36AC7" w14:textId="77777777" w:rsidR="00611F63" w:rsidRPr="00402DDD" w:rsidRDefault="00082785" w:rsidP="0095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DDD">
              <w:rPr>
                <w:rFonts w:ascii="Arial" w:hAnsi="Arial" w:cs="Arial"/>
                <w:color w:val="010000"/>
                <w:sz w:val="20"/>
              </w:rPr>
              <w:t>140,000</w:t>
            </w:r>
          </w:p>
        </w:tc>
        <w:tc>
          <w:tcPr>
            <w:tcW w:w="10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0403DF" w14:textId="77777777" w:rsidR="00611F63" w:rsidRPr="00402DDD" w:rsidRDefault="00082785" w:rsidP="0095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DDD">
              <w:rPr>
                <w:rFonts w:ascii="Arial" w:hAnsi="Arial" w:cs="Arial"/>
                <w:color w:val="010000"/>
                <w:sz w:val="20"/>
              </w:rPr>
              <w:t>114,000</w:t>
            </w:r>
          </w:p>
        </w:tc>
      </w:tr>
      <w:tr w:rsidR="00611F63" w:rsidRPr="00402DDD" w14:paraId="06ACB254" w14:textId="77777777" w:rsidTr="000734A9">
        <w:tc>
          <w:tcPr>
            <w:tcW w:w="2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68953C" w14:textId="30730C84" w:rsidR="00611F63" w:rsidRPr="00402DDD" w:rsidRDefault="00082785" w:rsidP="0095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DDD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31FFE7" w14:textId="77777777" w:rsidR="00611F63" w:rsidRPr="00402DDD" w:rsidRDefault="00082785" w:rsidP="0095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DDD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32A57" w14:textId="77777777" w:rsidR="00611F63" w:rsidRPr="00402DDD" w:rsidRDefault="00082785" w:rsidP="0095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DDD">
              <w:rPr>
                <w:rFonts w:ascii="Arial" w:hAnsi="Arial" w:cs="Arial"/>
                <w:color w:val="010000"/>
                <w:sz w:val="20"/>
              </w:rPr>
              <w:t>25,000</w:t>
            </w:r>
          </w:p>
        </w:tc>
        <w:tc>
          <w:tcPr>
            <w:tcW w:w="10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C3B53" w14:textId="77777777" w:rsidR="00611F63" w:rsidRPr="00402DDD" w:rsidRDefault="00082785" w:rsidP="0095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DDD">
              <w:rPr>
                <w:rFonts w:ascii="Arial" w:hAnsi="Arial" w:cs="Arial"/>
                <w:color w:val="010000"/>
                <w:sz w:val="20"/>
              </w:rPr>
              <w:t>20,000</w:t>
            </w:r>
          </w:p>
        </w:tc>
      </w:tr>
      <w:tr w:rsidR="00611F63" w:rsidRPr="00402DDD" w14:paraId="72347D7A" w14:textId="77777777" w:rsidTr="000734A9">
        <w:tc>
          <w:tcPr>
            <w:tcW w:w="2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41E575" w14:textId="74C56B29" w:rsidR="00611F63" w:rsidRPr="00402DDD" w:rsidRDefault="00082785" w:rsidP="0095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DDD">
              <w:rPr>
                <w:rFonts w:ascii="Arial" w:hAnsi="Arial" w:cs="Arial"/>
                <w:color w:val="010000"/>
                <w:sz w:val="20"/>
              </w:rPr>
              <w:t xml:space="preserve">Payables to </w:t>
            </w:r>
            <w:r w:rsidR="00402DDD" w:rsidRPr="00402DDD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402DDD">
              <w:rPr>
                <w:rFonts w:ascii="Arial" w:hAnsi="Arial" w:cs="Arial"/>
                <w:color w:val="010000"/>
                <w:sz w:val="20"/>
              </w:rPr>
              <w:t>State budget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0C8209" w14:textId="77777777" w:rsidR="00611F63" w:rsidRPr="00402DDD" w:rsidRDefault="00082785" w:rsidP="0095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DDD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E56684" w14:textId="77777777" w:rsidR="00611F63" w:rsidRPr="00402DDD" w:rsidRDefault="00082785" w:rsidP="0095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DDD">
              <w:rPr>
                <w:rFonts w:ascii="Arial" w:hAnsi="Arial" w:cs="Arial"/>
                <w:color w:val="010000"/>
                <w:sz w:val="20"/>
              </w:rPr>
              <w:t>15,000</w:t>
            </w:r>
          </w:p>
        </w:tc>
        <w:tc>
          <w:tcPr>
            <w:tcW w:w="10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9AA83A" w14:textId="77777777" w:rsidR="00611F63" w:rsidRPr="00402DDD" w:rsidRDefault="00082785" w:rsidP="0095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2DDD">
              <w:rPr>
                <w:rFonts w:ascii="Arial" w:hAnsi="Arial" w:cs="Arial"/>
                <w:color w:val="010000"/>
                <w:sz w:val="20"/>
              </w:rPr>
              <w:t>8,000</w:t>
            </w:r>
          </w:p>
        </w:tc>
      </w:tr>
    </w:tbl>
    <w:p w14:paraId="62BEAB4D" w14:textId="2818CCF0" w:rsidR="00611F63" w:rsidRPr="00402DDD" w:rsidRDefault="00082785" w:rsidP="009558C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02DDD">
        <w:rPr>
          <w:rFonts w:ascii="Arial" w:hAnsi="Arial" w:cs="Arial"/>
          <w:color w:val="010000"/>
          <w:sz w:val="20"/>
        </w:rPr>
        <w:t xml:space="preserve">Investment projects: Continue </w:t>
      </w:r>
      <w:r w:rsidR="00402DDD" w:rsidRPr="00402DDD">
        <w:rPr>
          <w:rFonts w:ascii="Arial" w:hAnsi="Arial" w:cs="Arial"/>
          <w:color w:val="010000"/>
          <w:sz w:val="20"/>
        </w:rPr>
        <w:t>implementing</w:t>
      </w:r>
      <w:r w:rsidRPr="00402DDD">
        <w:rPr>
          <w:rFonts w:ascii="Arial" w:hAnsi="Arial" w:cs="Arial"/>
          <w:color w:val="010000"/>
          <w:sz w:val="20"/>
        </w:rPr>
        <w:t xml:space="preserve"> investment according to the Annual General Mandate 2023</w:t>
      </w:r>
      <w:r w:rsidR="00402DDD" w:rsidRPr="00402DDD">
        <w:rPr>
          <w:rFonts w:ascii="Arial" w:hAnsi="Arial" w:cs="Arial"/>
          <w:color w:val="010000"/>
          <w:sz w:val="20"/>
        </w:rPr>
        <w:t>.</w:t>
      </w:r>
      <w:r w:rsidRPr="00402DDD">
        <w:rPr>
          <w:rFonts w:ascii="Arial" w:hAnsi="Arial" w:cs="Arial"/>
          <w:color w:val="010000"/>
          <w:sz w:val="20"/>
        </w:rPr>
        <w:t xml:space="preserve"> Focus and </w:t>
      </w:r>
      <w:r w:rsidR="00402DDD" w:rsidRPr="00402DDD">
        <w:rPr>
          <w:rFonts w:ascii="Arial" w:hAnsi="Arial" w:cs="Arial"/>
          <w:color w:val="010000"/>
          <w:sz w:val="20"/>
        </w:rPr>
        <w:t xml:space="preserve">be </w:t>
      </w:r>
      <w:r w:rsidRPr="00402DDD">
        <w:rPr>
          <w:rFonts w:ascii="Arial" w:hAnsi="Arial" w:cs="Arial"/>
          <w:color w:val="010000"/>
          <w:sz w:val="20"/>
        </w:rPr>
        <w:t xml:space="preserve">drastic </w:t>
      </w:r>
      <w:r w:rsidR="00402DDD" w:rsidRPr="00402DDD">
        <w:rPr>
          <w:rFonts w:ascii="Arial" w:hAnsi="Arial" w:cs="Arial"/>
          <w:color w:val="010000"/>
          <w:sz w:val="20"/>
        </w:rPr>
        <w:t xml:space="preserve">in </w:t>
      </w:r>
      <w:r w:rsidRPr="00402DDD">
        <w:rPr>
          <w:rFonts w:ascii="Arial" w:hAnsi="Arial" w:cs="Arial"/>
          <w:color w:val="010000"/>
          <w:sz w:val="20"/>
        </w:rPr>
        <w:t xml:space="preserve">the site clearance of the Nam Minh Phuong </w:t>
      </w:r>
      <w:r w:rsidR="00402DDD" w:rsidRPr="00402DDD">
        <w:rPr>
          <w:rFonts w:ascii="Arial" w:hAnsi="Arial" w:cs="Arial"/>
          <w:color w:val="010000"/>
          <w:sz w:val="20"/>
        </w:rPr>
        <w:t>New Urban Area Project</w:t>
      </w:r>
      <w:r w:rsidRPr="00402DDD">
        <w:rPr>
          <w:rFonts w:ascii="Arial" w:hAnsi="Arial" w:cs="Arial"/>
          <w:color w:val="010000"/>
          <w:sz w:val="20"/>
        </w:rPr>
        <w:t xml:space="preserve">, </w:t>
      </w:r>
      <w:r w:rsidR="00402DDD" w:rsidRPr="00402DDD">
        <w:rPr>
          <w:rFonts w:ascii="Arial" w:hAnsi="Arial" w:cs="Arial"/>
          <w:color w:val="010000"/>
          <w:sz w:val="20"/>
        </w:rPr>
        <w:t>and prepare</w:t>
      </w:r>
      <w:r w:rsidRPr="00402DDD">
        <w:rPr>
          <w:rFonts w:ascii="Arial" w:hAnsi="Arial" w:cs="Arial"/>
          <w:color w:val="010000"/>
          <w:sz w:val="20"/>
        </w:rPr>
        <w:t xml:space="preserve"> the ground to start construction of the project according to the set schedule.</w:t>
      </w:r>
    </w:p>
    <w:p w14:paraId="47BE9E16" w14:textId="057E427F" w:rsidR="00611F63" w:rsidRPr="00402DDD" w:rsidRDefault="00082785" w:rsidP="009558C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02DDD">
        <w:rPr>
          <w:rFonts w:ascii="Arial" w:hAnsi="Arial" w:cs="Arial"/>
          <w:color w:val="010000"/>
          <w:sz w:val="20"/>
        </w:rPr>
        <w:t xml:space="preserve">Construction and installation works: Closely </w:t>
      </w:r>
      <w:r w:rsidR="00402DDD" w:rsidRPr="00402DDD">
        <w:rPr>
          <w:rFonts w:ascii="Arial" w:hAnsi="Arial" w:cs="Arial"/>
          <w:color w:val="010000"/>
          <w:sz w:val="20"/>
        </w:rPr>
        <w:t xml:space="preserve">follow and </w:t>
      </w:r>
      <w:r w:rsidRPr="00402DDD">
        <w:rPr>
          <w:rFonts w:ascii="Arial" w:hAnsi="Arial" w:cs="Arial"/>
          <w:color w:val="010000"/>
          <w:sz w:val="20"/>
        </w:rPr>
        <w:t>complete the payment acceptance works and price compensation documents for payment in 2023.</w:t>
      </w:r>
    </w:p>
    <w:p w14:paraId="76C38828" w14:textId="6DFB592C" w:rsidR="00611F63" w:rsidRPr="00402DDD" w:rsidRDefault="00082785" w:rsidP="009558C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02DDD">
        <w:rPr>
          <w:rFonts w:ascii="Arial" w:hAnsi="Arial" w:cs="Arial"/>
          <w:color w:val="010000"/>
          <w:sz w:val="20"/>
        </w:rPr>
        <w:t xml:space="preserve">Financial investment: Continue to implement investment according to the Annual General Mandate 2023. If the stock market has a good time and opportunity, the Company can consider using a reasonable portion of capital for short-term investment to bring economic efficiency </w:t>
      </w:r>
      <w:r w:rsidR="00402DDD" w:rsidRPr="00402DDD">
        <w:rPr>
          <w:rFonts w:ascii="Arial" w:hAnsi="Arial" w:cs="Arial"/>
          <w:color w:val="010000"/>
          <w:sz w:val="20"/>
        </w:rPr>
        <w:t>to</w:t>
      </w:r>
      <w:r w:rsidRPr="00402DDD">
        <w:rPr>
          <w:rFonts w:ascii="Arial" w:hAnsi="Arial" w:cs="Arial"/>
          <w:color w:val="010000"/>
          <w:sz w:val="20"/>
        </w:rPr>
        <w:t xml:space="preserve"> the Company.</w:t>
      </w:r>
    </w:p>
    <w:p w14:paraId="464B6263" w14:textId="5C441438" w:rsidR="00611F63" w:rsidRPr="00402DDD" w:rsidRDefault="00082785" w:rsidP="00955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02DDD">
        <w:rPr>
          <w:rFonts w:ascii="Arial" w:hAnsi="Arial" w:cs="Arial"/>
          <w:color w:val="010000"/>
          <w:sz w:val="20"/>
        </w:rPr>
        <w:t xml:space="preserve">Organize the </w:t>
      </w:r>
      <w:r w:rsidR="003F0A9C">
        <w:rPr>
          <w:rFonts w:ascii="Arial" w:hAnsi="Arial" w:cs="Arial"/>
          <w:color w:val="010000"/>
          <w:sz w:val="20"/>
        </w:rPr>
        <w:t>40th</w:t>
      </w:r>
      <w:r w:rsidRPr="00402DDD">
        <w:rPr>
          <w:rFonts w:ascii="Arial" w:hAnsi="Arial" w:cs="Arial"/>
          <w:color w:val="010000"/>
          <w:sz w:val="20"/>
        </w:rPr>
        <w:t xml:space="preserve"> anniversary of the Company's establishment in 2024 according to </w:t>
      </w:r>
      <w:r w:rsidR="00402DDD" w:rsidRPr="00402DDD">
        <w:rPr>
          <w:rFonts w:ascii="Arial" w:hAnsi="Arial" w:cs="Arial"/>
          <w:color w:val="010000"/>
          <w:sz w:val="20"/>
        </w:rPr>
        <w:t>General Mandate</w:t>
      </w:r>
      <w:r w:rsidRPr="00402DDD">
        <w:rPr>
          <w:rFonts w:ascii="Arial" w:hAnsi="Arial" w:cs="Arial"/>
          <w:color w:val="010000"/>
          <w:sz w:val="20"/>
        </w:rPr>
        <w:t xml:space="preserve"> No. 02/NQ-DHDCD dated April 28, 2023.</w:t>
      </w:r>
    </w:p>
    <w:p w14:paraId="550A538B" w14:textId="3A118CEB" w:rsidR="00611F63" w:rsidRPr="00402DDD" w:rsidRDefault="00082785" w:rsidP="009558C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02DDD">
        <w:rPr>
          <w:rFonts w:ascii="Arial" w:hAnsi="Arial" w:cs="Arial"/>
          <w:color w:val="010000"/>
          <w:sz w:val="20"/>
        </w:rPr>
        <w:t xml:space="preserve">The Board of Directors and the Board of Management are expected to celebrate the </w:t>
      </w:r>
      <w:r w:rsidR="003F0A9C">
        <w:rPr>
          <w:rFonts w:ascii="Arial" w:hAnsi="Arial" w:cs="Arial"/>
          <w:color w:val="010000"/>
          <w:sz w:val="20"/>
        </w:rPr>
        <w:t>40th</w:t>
      </w:r>
      <w:r w:rsidRPr="00402DDD">
        <w:rPr>
          <w:rFonts w:ascii="Arial" w:hAnsi="Arial" w:cs="Arial"/>
          <w:color w:val="010000"/>
          <w:sz w:val="20"/>
        </w:rPr>
        <w:t xml:space="preserve"> anniversary of the Company's establishment in Q</w:t>
      </w:r>
      <w:r w:rsidR="00402DDD" w:rsidRPr="00402DDD">
        <w:rPr>
          <w:rFonts w:ascii="Arial" w:hAnsi="Arial" w:cs="Arial"/>
          <w:color w:val="010000"/>
          <w:sz w:val="20"/>
        </w:rPr>
        <w:t xml:space="preserve">2 </w:t>
      </w:r>
      <w:r w:rsidRPr="00402DDD">
        <w:rPr>
          <w:rFonts w:ascii="Arial" w:hAnsi="Arial" w:cs="Arial"/>
          <w:color w:val="010000"/>
          <w:sz w:val="20"/>
        </w:rPr>
        <w:t>or Q</w:t>
      </w:r>
      <w:r w:rsidR="00402DDD" w:rsidRPr="00402DDD">
        <w:rPr>
          <w:rFonts w:ascii="Arial" w:hAnsi="Arial" w:cs="Arial"/>
          <w:color w:val="010000"/>
          <w:sz w:val="20"/>
        </w:rPr>
        <w:t>3</w:t>
      </w:r>
      <w:r w:rsidRPr="00402DDD">
        <w:rPr>
          <w:rFonts w:ascii="Arial" w:hAnsi="Arial" w:cs="Arial"/>
          <w:color w:val="010000"/>
          <w:sz w:val="20"/>
        </w:rPr>
        <w:t xml:space="preserve">/2023 according to </w:t>
      </w:r>
      <w:r w:rsidR="00402DDD" w:rsidRPr="00402DDD">
        <w:rPr>
          <w:rFonts w:ascii="Arial" w:hAnsi="Arial" w:cs="Arial"/>
          <w:color w:val="010000"/>
          <w:sz w:val="20"/>
        </w:rPr>
        <w:t xml:space="preserve">General Mandate </w:t>
      </w:r>
      <w:r w:rsidRPr="00402DDD">
        <w:rPr>
          <w:rFonts w:ascii="Arial" w:hAnsi="Arial" w:cs="Arial"/>
          <w:color w:val="010000"/>
          <w:sz w:val="20"/>
        </w:rPr>
        <w:t xml:space="preserve">No. 02/NQ-DHDCD dated April 28, 2023, but </w:t>
      </w:r>
      <w:r w:rsidR="00402DDD" w:rsidRPr="00402DDD">
        <w:rPr>
          <w:rFonts w:ascii="Arial" w:hAnsi="Arial" w:cs="Arial"/>
          <w:color w:val="010000"/>
          <w:sz w:val="20"/>
        </w:rPr>
        <w:t>failed due to certain circumstances.</w:t>
      </w:r>
      <w:r w:rsidRPr="00402DDD">
        <w:rPr>
          <w:rFonts w:ascii="Arial" w:hAnsi="Arial" w:cs="Arial"/>
          <w:color w:val="010000"/>
          <w:sz w:val="20"/>
        </w:rPr>
        <w:t xml:space="preserve"> </w:t>
      </w:r>
      <w:r w:rsidR="00402DDD" w:rsidRPr="00402DDD">
        <w:rPr>
          <w:rFonts w:ascii="Arial" w:hAnsi="Arial" w:cs="Arial"/>
          <w:color w:val="010000"/>
          <w:sz w:val="20"/>
        </w:rPr>
        <w:t xml:space="preserve">The </w:t>
      </w:r>
      <w:r w:rsidRPr="00402DDD">
        <w:rPr>
          <w:rFonts w:ascii="Arial" w:hAnsi="Arial" w:cs="Arial"/>
          <w:color w:val="010000"/>
          <w:sz w:val="20"/>
        </w:rPr>
        <w:t xml:space="preserve">organization </w:t>
      </w:r>
      <w:r w:rsidR="00402DDD" w:rsidRPr="00402DDD">
        <w:rPr>
          <w:rFonts w:ascii="Arial" w:hAnsi="Arial" w:cs="Arial"/>
          <w:color w:val="010000"/>
          <w:sz w:val="20"/>
        </w:rPr>
        <w:t xml:space="preserve">of </w:t>
      </w:r>
      <w:r w:rsidRPr="00402DDD">
        <w:rPr>
          <w:rFonts w:ascii="Arial" w:hAnsi="Arial" w:cs="Arial"/>
          <w:color w:val="010000"/>
          <w:sz w:val="20"/>
        </w:rPr>
        <w:t xml:space="preserve">the anniversary </w:t>
      </w:r>
      <w:r w:rsidR="00402DDD">
        <w:rPr>
          <w:rFonts w:ascii="Arial" w:hAnsi="Arial" w:cs="Arial"/>
          <w:color w:val="010000"/>
          <w:sz w:val="20"/>
        </w:rPr>
        <w:t>was</w:t>
      </w:r>
      <w:r w:rsidR="00402DDD" w:rsidRPr="00402DDD">
        <w:rPr>
          <w:rFonts w:ascii="Arial" w:hAnsi="Arial" w:cs="Arial"/>
          <w:color w:val="010000"/>
          <w:sz w:val="20"/>
        </w:rPr>
        <w:t xml:space="preserve"> agreed to be </w:t>
      </w:r>
      <w:r w:rsidRPr="00402DDD">
        <w:rPr>
          <w:rFonts w:ascii="Arial" w:hAnsi="Arial" w:cs="Arial"/>
          <w:color w:val="010000"/>
          <w:sz w:val="20"/>
        </w:rPr>
        <w:t xml:space="preserve">in Q1/2024 with economical and reasonable costs. Organizational funds are deducted </w:t>
      </w:r>
      <w:r w:rsidRPr="00402DDD">
        <w:rPr>
          <w:rFonts w:ascii="Arial" w:hAnsi="Arial" w:cs="Arial"/>
          <w:color w:val="010000"/>
          <w:sz w:val="20"/>
        </w:rPr>
        <w:lastRenderedPageBreak/>
        <w:t xml:space="preserve">from </w:t>
      </w:r>
      <w:r w:rsidR="00402DDD" w:rsidRPr="00402DDD">
        <w:rPr>
          <w:rFonts w:ascii="Arial" w:hAnsi="Arial" w:cs="Arial"/>
          <w:color w:val="010000"/>
          <w:sz w:val="20"/>
        </w:rPr>
        <w:t xml:space="preserve">the </w:t>
      </w:r>
      <w:r w:rsidRPr="00402DDD">
        <w:rPr>
          <w:rFonts w:ascii="Arial" w:hAnsi="Arial" w:cs="Arial"/>
          <w:color w:val="010000"/>
          <w:sz w:val="20"/>
        </w:rPr>
        <w:t>bonus and welfare fund of the Company.</w:t>
      </w:r>
    </w:p>
    <w:p w14:paraId="0833E4B3" w14:textId="42EA6490" w:rsidR="00611F63" w:rsidRPr="00402DDD" w:rsidRDefault="00082785" w:rsidP="009558C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02DDD">
        <w:rPr>
          <w:rFonts w:ascii="Arial" w:hAnsi="Arial" w:cs="Arial"/>
          <w:color w:val="010000"/>
          <w:sz w:val="20"/>
        </w:rPr>
        <w:t>Article 2: Assign the Board of Directors, the Board of Management, relevant departments</w:t>
      </w:r>
      <w:r w:rsidR="008771E3">
        <w:rPr>
          <w:rFonts w:ascii="Arial" w:hAnsi="Arial" w:cs="Arial"/>
          <w:color w:val="010000"/>
          <w:sz w:val="20"/>
        </w:rPr>
        <w:t>,</w:t>
      </w:r>
      <w:r w:rsidRPr="00402DDD">
        <w:rPr>
          <w:rFonts w:ascii="Arial" w:hAnsi="Arial" w:cs="Arial"/>
          <w:color w:val="010000"/>
          <w:sz w:val="20"/>
        </w:rPr>
        <w:t xml:space="preserve"> and individuals to implement </w:t>
      </w:r>
      <w:r w:rsidR="008771E3">
        <w:rPr>
          <w:rFonts w:ascii="Arial" w:hAnsi="Arial" w:cs="Arial"/>
          <w:color w:val="010000"/>
          <w:sz w:val="20"/>
        </w:rPr>
        <w:t>following</w:t>
      </w:r>
      <w:r w:rsidRPr="00402DDD">
        <w:rPr>
          <w:rFonts w:ascii="Arial" w:hAnsi="Arial" w:cs="Arial"/>
          <w:color w:val="010000"/>
          <w:sz w:val="20"/>
        </w:rPr>
        <w:t xml:space="preserve"> prescribed procedures.</w:t>
      </w:r>
    </w:p>
    <w:p w14:paraId="49D95B67" w14:textId="3520CB98" w:rsidR="00611F63" w:rsidRPr="00402DDD" w:rsidRDefault="00082785" w:rsidP="009558C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02DDD">
        <w:rPr>
          <w:rFonts w:ascii="Arial" w:hAnsi="Arial" w:cs="Arial"/>
          <w:color w:val="010000"/>
          <w:sz w:val="20"/>
        </w:rPr>
        <w:t>Article 3: This Board Resolution takes effect from the date of its signing. The Board of Managers, relevant departments</w:t>
      </w:r>
      <w:r w:rsidR="008771E3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402DDD">
        <w:rPr>
          <w:rFonts w:ascii="Arial" w:hAnsi="Arial" w:cs="Arial"/>
          <w:color w:val="010000"/>
          <w:sz w:val="20"/>
        </w:rPr>
        <w:t xml:space="preserve"> and individuals are responsible for the implementation of this Board Resolution.</w:t>
      </w:r>
    </w:p>
    <w:sectPr w:rsidR="00611F63" w:rsidRPr="00402DDD" w:rsidSect="00082785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2057F"/>
    <w:multiLevelType w:val="multilevel"/>
    <w:tmpl w:val="F66C3A2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63"/>
    <w:rsid w:val="000734A9"/>
    <w:rsid w:val="00082785"/>
    <w:rsid w:val="003371B9"/>
    <w:rsid w:val="003F0A9C"/>
    <w:rsid w:val="00402DDD"/>
    <w:rsid w:val="00611F63"/>
    <w:rsid w:val="008771E3"/>
    <w:rsid w:val="0095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78A8D"/>
  <w15:docId w15:val="{108DFD26-3C65-4CF0-8A59-1713E154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Ue60+Nwh+EXIDIBzlXNwxrYz2Q==">CgMxLjA4AHIhMUhiQ2ZmZk9XMDExczNPUFgtU2VzSDZtMEpmRnl3S3Jt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429</Words>
  <Characters>2343</Characters>
  <Application>Microsoft Office Word</Application>
  <DocSecurity>0</DocSecurity>
  <Lines>60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2024-01-02T11:47:00Z</dcterms:created>
  <dcterms:modified xsi:type="dcterms:W3CDTF">2024-01-03T03:44:00Z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92c9ac9c1f4036ebd23f05ede56e538e6b88f454707225bf45e6bd9bb6707771</vt:lpwstr>
  </property>
</Properties>
</file>