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481C" w14:textId="77777777" w:rsidR="002550F8" w:rsidRPr="00E870A4" w:rsidRDefault="00C14764" w:rsidP="007F5D2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1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870A4">
        <w:rPr>
          <w:rFonts w:ascii="Arial" w:hAnsi="Arial" w:cs="Arial"/>
          <w:b/>
          <w:color w:val="010000"/>
          <w:sz w:val="20"/>
        </w:rPr>
        <w:t>MGG: Board Resolution</w:t>
      </w:r>
    </w:p>
    <w:p w14:paraId="598E1284" w14:textId="77777777" w:rsidR="002550F8" w:rsidRPr="00E870A4" w:rsidRDefault="00C14764" w:rsidP="007F5D2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1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On December 29, 2023, Duc Giang Corporation announced Board Resolution No. 529/NQ-HDQT as follows:</w:t>
      </w:r>
    </w:p>
    <w:p w14:paraId="3A694292" w14:textId="77777777" w:rsidR="002550F8" w:rsidRPr="00E870A4" w:rsidRDefault="00C14764" w:rsidP="00C14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Production and business results in 2023: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66"/>
        <w:gridCol w:w="1077"/>
        <w:gridCol w:w="1331"/>
        <w:gridCol w:w="1181"/>
        <w:gridCol w:w="1275"/>
        <w:gridCol w:w="1189"/>
      </w:tblGrid>
      <w:tr w:rsidR="002550F8" w:rsidRPr="00E870A4" w14:paraId="44269941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2BC090" w14:textId="53E34B93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Main targets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87593C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Unit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7735A1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Estimates of 2023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512B71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2022 Results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FC729B" w14:textId="15F4A776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 xml:space="preserve">Compared to </w:t>
            </w:r>
            <w:r w:rsidR="00E870A4" w:rsidRPr="00E870A4">
              <w:rPr>
                <w:rFonts w:ascii="Arial" w:hAnsi="Arial" w:cs="Arial"/>
                <w:color w:val="010000"/>
                <w:sz w:val="20"/>
              </w:rPr>
              <w:t>the</w:t>
            </w:r>
            <w:r w:rsidRPr="00E870A4">
              <w:rPr>
                <w:rFonts w:ascii="Arial" w:hAnsi="Arial" w:cs="Arial"/>
                <w:color w:val="010000"/>
                <w:sz w:val="20"/>
              </w:rPr>
              <w:t xml:space="preserve"> Plan (%)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C57502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Compared to the same period (%)</w:t>
            </w:r>
          </w:p>
        </w:tc>
      </w:tr>
      <w:tr w:rsidR="002550F8" w:rsidRPr="00E870A4" w14:paraId="62EBF730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D2300D" w14:textId="65C91489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Total revenue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8A299A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6AF2B4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2,438.5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EDC3AD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2,814.1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7886FD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83%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DF41CB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87%</w:t>
            </w:r>
          </w:p>
        </w:tc>
      </w:tr>
      <w:tr w:rsidR="002550F8" w:rsidRPr="00E870A4" w14:paraId="2B364FE0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76E2C1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Revenue from export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E5B253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Million USD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F6D413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80.8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32A00A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95.4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326FE2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83%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FAF930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85%</w:t>
            </w:r>
          </w:p>
        </w:tc>
      </w:tr>
      <w:tr w:rsidR="002550F8" w:rsidRPr="00E870A4" w14:paraId="3E3989AB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A30902" w14:textId="46555971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 xml:space="preserve">Domestic </w:t>
            </w:r>
            <w:r w:rsidR="00E870A4" w:rsidRPr="00E870A4">
              <w:rPr>
                <w:rFonts w:ascii="Arial" w:hAnsi="Arial" w:cs="Arial"/>
                <w:color w:val="010000"/>
                <w:sz w:val="20"/>
              </w:rPr>
              <w:t>revenue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9D7A40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67D1FF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494.4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F0214A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561.7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3A053F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91%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E83B58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88%</w:t>
            </w:r>
          </w:p>
        </w:tc>
      </w:tr>
      <w:tr w:rsidR="002550F8" w:rsidRPr="00E870A4" w14:paraId="3835F33C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6331C6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Duc Giang Trading And Investment Joint Stock Company (TIDG)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794BCD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5DCD45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313.1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9882B8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352.6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DB9E96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101%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5FE736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89%</w:t>
            </w:r>
          </w:p>
        </w:tc>
      </w:tr>
      <w:tr w:rsidR="002550F8" w:rsidRPr="00E870A4" w14:paraId="2F80B6B4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C11EDD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Duc Giang Investment And Fashion Joint Stock Company (FIDG)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C9C47F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42F87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181.3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201D64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209.1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146CE0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78%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A1CEA0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87%</w:t>
            </w:r>
          </w:p>
        </w:tc>
      </w:tr>
      <w:tr w:rsidR="002550F8" w:rsidRPr="00E870A4" w14:paraId="60CD13E8" w14:textId="77777777" w:rsidTr="00C14764">
        <w:tc>
          <w:tcPr>
            <w:tcW w:w="164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EDE46A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Profit</w:t>
            </w:r>
          </w:p>
        </w:tc>
        <w:tc>
          <w:tcPr>
            <w:tcW w:w="59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60AC38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Billion VND</w:t>
            </w:r>
          </w:p>
        </w:tc>
        <w:tc>
          <w:tcPr>
            <w:tcW w:w="73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BBC7F9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15</w:t>
            </w:r>
          </w:p>
        </w:tc>
        <w:tc>
          <w:tcPr>
            <w:tcW w:w="6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35706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bCs/>
                <w:color w:val="010000"/>
                <w:sz w:val="20"/>
              </w:rPr>
              <w:t>30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5E6A88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60%</w:t>
            </w:r>
          </w:p>
        </w:tc>
        <w:tc>
          <w:tcPr>
            <w:tcW w:w="6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29A5DF" w14:textId="77777777" w:rsidR="002550F8" w:rsidRPr="00E870A4" w:rsidRDefault="00C14764" w:rsidP="00C1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E870A4">
              <w:rPr>
                <w:rFonts w:ascii="Arial" w:hAnsi="Arial" w:cs="Arial"/>
                <w:color w:val="010000"/>
                <w:sz w:val="20"/>
              </w:rPr>
              <w:t>50%</w:t>
            </w:r>
          </w:p>
        </w:tc>
      </w:tr>
    </w:tbl>
    <w:p w14:paraId="36819874" w14:textId="6503DB86" w:rsidR="002550F8" w:rsidRPr="00E870A4" w:rsidRDefault="00C14764" w:rsidP="00C14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 xml:space="preserve">Main </w:t>
      </w:r>
      <w:r w:rsidR="00E870A4" w:rsidRPr="00E870A4">
        <w:rPr>
          <w:rFonts w:ascii="Arial" w:hAnsi="Arial" w:cs="Arial"/>
          <w:color w:val="010000"/>
          <w:sz w:val="20"/>
        </w:rPr>
        <w:t>solutions:</w:t>
      </w:r>
    </w:p>
    <w:p w14:paraId="24C26692" w14:textId="3609A7B4" w:rsidR="002550F8" w:rsidRPr="00E870A4" w:rsidRDefault="00C14764" w:rsidP="00C1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 xml:space="preserve">Consolidate, upgrade and maintain the central role of </w:t>
      </w:r>
      <w:r w:rsidR="00E870A4" w:rsidRPr="00E870A4">
        <w:rPr>
          <w:rFonts w:ascii="Arial" w:hAnsi="Arial" w:cs="Arial"/>
          <w:color w:val="010000"/>
          <w:sz w:val="20"/>
        </w:rPr>
        <w:t>marketing and</w:t>
      </w:r>
      <w:r w:rsidRPr="00E870A4">
        <w:rPr>
          <w:rFonts w:ascii="Arial" w:hAnsi="Arial" w:cs="Arial"/>
          <w:color w:val="010000"/>
          <w:sz w:val="20"/>
        </w:rPr>
        <w:t xml:space="preserve"> ODM.</w:t>
      </w:r>
    </w:p>
    <w:p w14:paraId="50E5AD01" w14:textId="2416AD4F" w:rsidR="002550F8" w:rsidRPr="00E870A4" w:rsidRDefault="00C14764" w:rsidP="00C1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 xml:space="preserve">Promote promotion and structure the apparatus </w:t>
      </w:r>
      <w:r w:rsidR="007F5D22">
        <w:rPr>
          <w:rFonts w:ascii="Arial" w:hAnsi="Arial" w:cs="Arial"/>
          <w:color w:val="010000"/>
          <w:sz w:val="20"/>
        </w:rPr>
        <w:t>under</w:t>
      </w:r>
      <w:r w:rsidRPr="00E870A4">
        <w:rPr>
          <w:rFonts w:ascii="Arial" w:hAnsi="Arial" w:cs="Arial"/>
          <w:color w:val="010000"/>
          <w:sz w:val="20"/>
        </w:rPr>
        <w:t xml:space="preserve"> actual </w:t>
      </w:r>
      <w:r w:rsidR="007F5D22">
        <w:rPr>
          <w:rFonts w:ascii="Arial" w:hAnsi="Arial" w:cs="Arial"/>
          <w:color w:val="010000"/>
          <w:sz w:val="20"/>
        </w:rPr>
        <w:t>circumstances</w:t>
      </w:r>
      <w:bookmarkStart w:id="0" w:name="_GoBack"/>
      <w:bookmarkEnd w:id="0"/>
    </w:p>
    <w:p w14:paraId="162AE186" w14:textId="77777777" w:rsidR="002550F8" w:rsidRPr="00E870A4" w:rsidRDefault="00C14764" w:rsidP="00C1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Connect suppliers to exploit raw materials.</w:t>
      </w:r>
    </w:p>
    <w:p w14:paraId="061A8336" w14:textId="4645DA04" w:rsidR="002550F8" w:rsidRPr="00E870A4" w:rsidRDefault="00C14764" w:rsidP="00C1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Restructuring production, arranging production neatly</w:t>
      </w:r>
      <w:r w:rsidR="00E870A4" w:rsidRPr="00E870A4">
        <w:rPr>
          <w:rFonts w:ascii="Arial" w:hAnsi="Arial" w:cs="Arial"/>
          <w:color w:val="010000"/>
          <w:sz w:val="20"/>
        </w:rPr>
        <w:t xml:space="preserve"> with</w:t>
      </w:r>
      <w:r w:rsidRPr="00E870A4">
        <w:rPr>
          <w:rFonts w:ascii="Arial" w:hAnsi="Arial" w:cs="Arial"/>
          <w:color w:val="010000"/>
          <w:sz w:val="20"/>
        </w:rPr>
        <w:t xml:space="preserve"> reasonable production time.</w:t>
      </w:r>
    </w:p>
    <w:p w14:paraId="42286491" w14:textId="77777777" w:rsidR="002550F8" w:rsidRPr="00E870A4" w:rsidRDefault="00C14764" w:rsidP="00C147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Close coordination between productivity - quality.</w:t>
      </w:r>
    </w:p>
    <w:p w14:paraId="22A6E020" w14:textId="04380A45" w:rsidR="002550F8" w:rsidRPr="00E870A4" w:rsidRDefault="00C14764" w:rsidP="00C1476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870A4">
        <w:rPr>
          <w:rFonts w:ascii="Arial" w:hAnsi="Arial" w:cs="Arial"/>
          <w:color w:val="010000"/>
          <w:sz w:val="20"/>
        </w:rPr>
        <w:t>The Board Resolution of Duc Giang Corporation was</w:t>
      </w:r>
      <w:r w:rsidR="00E870A4">
        <w:rPr>
          <w:rFonts w:ascii="Arial" w:hAnsi="Arial" w:cs="Arial"/>
          <w:color w:val="010000"/>
          <w:sz w:val="20"/>
        </w:rPr>
        <w:t xml:space="preserve"> fully</w:t>
      </w:r>
      <w:r w:rsidRPr="00E870A4">
        <w:rPr>
          <w:rFonts w:ascii="Arial" w:hAnsi="Arial" w:cs="Arial"/>
          <w:color w:val="010000"/>
          <w:sz w:val="20"/>
        </w:rPr>
        <w:t xml:space="preserve"> approved by the members of the Board of Directors.</w:t>
      </w:r>
    </w:p>
    <w:sectPr w:rsidR="002550F8" w:rsidRPr="00E870A4" w:rsidSect="00C14764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2F1D"/>
    <w:multiLevelType w:val="multilevel"/>
    <w:tmpl w:val="405EBAC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781FCA"/>
    <w:multiLevelType w:val="multilevel"/>
    <w:tmpl w:val="73D4F78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F8"/>
    <w:rsid w:val="002550F8"/>
    <w:rsid w:val="007F5D22"/>
    <w:rsid w:val="00C14764"/>
    <w:rsid w:val="00E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83CC3"/>
  <w15:docId w15:val="{1E6A7390-11CF-42F2-92D2-6DF8F52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72c7w7+BDZF+ETicO2LHFy8IWQ==">CgMxLjA4AHIhMURNVG5sQ1NOZ2lKSW9HMUJaMVM0bllQaWNzVE5OTVF5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2024-01-03T04:26:00Z</dcterms:created>
  <dcterms:modified xsi:type="dcterms:W3CDTF">2024-01-03T04:26:00Z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74ae642909de1662564ce4a2db406cc7fb4cef4bc4f769f7abe8ee96e4a0bc53</vt:lpwstr>
  </property>
</Properties>
</file>